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1A8A1947" w:rsidR="00390D8E" w:rsidRPr="004E1B7E" w:rsidRDefault="00F020FD"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W w:w="9625" w:type="dxa"/>
        <w:tblLook w:val="04A0" w:firstRow="1" w:lastRow="0" w:firstColumn="1" w:lastColumn="0" w:noHBand="0" w:noVBand="1"/>
      </w:tblPr>
      <w:tblGrid>
        <w:gridCol w:w="717"/>
        <w:gridCol w:w="799"/>
        <w:gridCol w:w="2619"/>
        <w:gridCol w:w="810"/>
        <w:gridCol w:w="4680"/>
      </w:tblGrid>
      <w:tr w:rsidR="00B278DD" w:rsidRPr="00B278DD" w14:paraId="56DA7B1F" w14:textId="77777777" w:rsidTr="00B278DD">
        <w:trPr>
          <w:trHeight w:val="283"/>
        </w:trPr>
        <w:tc>
          <w:tcPr>
            <w:tcW w:w="717"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4CFE1685" w14:textId="77777777" w:rsidR="00B278DD" w:rsidRPr="00B278DD" w:rsidRDefault="00B278DD" w:rsidP="00B278DD">
            <w:pPr>
              <w:spacing w:after="0" w:line="240" w:lineRule="auto"/>
              <w:rPr>
                <w:rFonts w:ascii="Arial Narrow" w:eastAsia="Times New Roman" w:hAnsi="Arial Narrow" w:cs="Calibri"/>
                <w:b/>
                <w:bCs/>
                <w:color w:val="FFFFFF"/>
                <w:sz w:val="18"/>
                <w:szCs w:val="18"/>
              </w:rPr>
            </w:pPr>
            <w:r w:rsidRPr="00B278DD">
              <w:rPr>
                <w:rFonts w:ascii="Arial Narrow" w:eastAsia="Times New Roman" w:hAnsi="Arial Narrow" w:cs="Calibri"/>
                <w:b/>
                <w:bCs/>
                <w:color w:val="FFFFFF"/>
                <w:sz w:val="18"/>
                <w:szCs w:val="18"/>
              </w:rPr>
              <w:t>Type</w:t>
            </w:r>
          </w:p>
        </w:tc>
        <w:tc>
          <w:tcPr>
            <w:tcW w:w="799" w:type="dxa"/>
            <w:tcBorders>
              <w:top w:val="single" w:sz="4" w:space="0" w:color="auto"/>
              <w:left w:val="nil"/>
              <w:bottom w:val="single" w:sz="4" w:space="0" w:color="auto"/>
              <w:right w:val="single" w:sz="4" w:space="0" w:color="auto"/>
            </w:tcBorders>
            <w:shd w:val="clear" w:color="000000" w:fill="44546A"/>
            <w:noWrap/>
            <w:vAlign w:val="center"/>
            <w:hideMark/>
          </w:tcPr>
          <w:p w14:paraId="4AB2D0DF" w14:textId="77777777" w:rsidR="00B278DD" w:rsidRPr="00B278DD" w:rsidRDefault="00B278DD" w:rsidP="00B278DD">
            <w:pPr>
              <w:spacing w:after="0" w:line="240" w:lineRule="auto"/>
              <w:rPr>
                <w:rFonts w:ascii="Arial Narrow" w:eastAsia="Times New Roman" w:hAnsi="Arial Narrow" w:cs="Calibri"/>
                <w:b/>
                <w:bCs/>
                <w:color w:val="FFFFFF"/>
                <w:sz w:val="18"/>
                <w:szCs w:val="18"/>
              </w:rPr>
            </w:pPr>
            <w:r w:rsidRPr="00B278DD">
              <w:rPr>
                <w:rFonts w:ascii="Arial Narrow" w:eastAsia="Times New Roman" w:hAnsi="Arial Narrow" w:cs="Calibri"/>
                <w:b/>
                <w:bCs/>
                <w:color w:val="FFFFFF"/>
                <w:sz w:val="18"/>
                <w:szCs w:val="18"/>
              </w:rPr>
              <w:t xml:space="preserve">Clause No. </w:t>
            </w:r>
          </w:p>
        </w:tc>
        <w:tc>
          <w:tcPr>
            <w:tcW w:w="2619" w:type="dxa"/>
            <w:tcBorders>
              <w:top w:val="single" w:sz="4" w:space="0" w:color="auto"/>
              <w:left w:val="nil"/>
              <w:bottom w:val="single" w:sz="4" w:space="0" w:color="auto"/>
              <w:right w:val="single" w:sz="4" w:space="0" w:color="auto"/>
            </w:tcBorders>
            <w:shd w:val="clear" w:color="000000" w:fill="44546A"/>
            <w:vAlign w:val="center"/>
            <w:hideMark/>
          </w:tcPr>
          <w:p w14:paraId="4903CBB6" w14:textId="77777777" w:rsidR="00B278DD" w:rsidRPr="00B278DD" w:rsidRDefault="00B278DD" w:rsidP="00B278DD">
            <w:pPr>
              <w:spacing w:after="0" w:line="240" w:lineRule="auto"/>
              <w:rPr>
                <w:rFonts w:ascii="Arial Narrow" w:eastAsia="Times New Roman" w:hAnsi="Arial Narrow" w:cs="Calibri"/>
                <w:b/>
                <w:bCs/>
                <w:color w:val="FFFFFF"/>
                <w:sz w:val="18"/>
                <w:szCs w:val="18"/>
              </w:rPr>
            </w:pPr>
            <w:r w:rsidRPr="00B278DD">
              <w:rPr>
                <w:rFonts w:ascii="Arial Narrow" w:eastAsia="Times New Roman" w:hAnsi="Arial Narrow" w:cs="Calibri"/>
                <w:b/>
                <w:bCs/>
                <w:color w:val="FFFFFF"/>
                <w:sz w:val="18"/>
                <w:szCs w:val="18"/>
              </w:rPr>
              <w:t xml:space="preserve">Title </w:t>
            </w:r>
          </w:p>
        </w:tc>
        <w:tc>
          <w:tcPr>
            <w:tcW w:w="810" w:type="dxa"/>
            <w:tcBorders>
              <w:top w:val="single" w:sz="4" w:space="0" w:color="auto"/>
              <w:left w:val="nil"/>
              <w:bottom w:val="single" w:sz="4" w:space="0" w:color="auto"/>
              <w:right w:val="single" w:sz="4" w:space="0" w:color="auto"/>
            </w:tcBorders>
            <w:shd w:val="clear" w:color="000000" w:fill="44546A"/>
            <w:noWrap/>
            <w:vAlign w:val="center"/>
            <w:hideMark/>
          </w:tcPr>
          <w:p w14:paraId="31AAD0A5" w14:textId="77777777" w:rsidR="00B278DD" w:rsidRPr="00B278DD" w:rsidRDefault="00B278DD" w:rsidP="00B278DD">
            <w:pPr>
              <w:spacing w:after="0" w:line="240" w:lineRule="auto"/>
              <w:rPr>
                <w:rFonts w:ascii="Arial Narrow" w:eastAsia="Times New Roman" w:hAnsi="Arial Narrow" w:cs="Calibri"/>
                <w:b/>
                <w:bCs/>
                <w:color w:val="FFFFFF"/>
                <w:sz w:val="18"/>
                <w:szCs w:val="18"/>
              </w:rPr>
            </w:pPr>
            <w:r w:rsidRPr="00B278DD">
              <w:rPr>
                <w:rFonts w:ascii="Arial Narrow" w:eastAsia="Times New Roman" w:hAnsi="Arial Narrow" w:cs="Calibri"/>
                <w:b/>
                <w:bCs/>
                <w:color w:val="FFFFFF"/>
                <w:sz w:val="18"/>
                <w:szCs w:val="18"/>
              </w:rPr>
              <w:t>Date</w:t>
            </w:r>
          </w:p>
        </w:tc>
        <w:tc>
          <w:tcPr>
            <w:tcW w:w="4680" w:type="dxa"/>
            <w:tcBorders>
              <w:top w:val="single" w:sz="4" w:space="0" w:color="auto"/>
              <w:left w:val="nil"/>
              <w:bottom w:val="single" w:sz="4" w:space="0" w:color="auto"/>
              <w:right w:val="single" w:sz="4" w:space="0" w:color="auto"/>
            </w:tcBorders>
            <w:shd w:val="clear" w:color="000000" w:fill="44546A"/>
            <w:vAlign w:val="center"/>
            <w:hideMark/>
          </w:tcPr>
          <w:p w14:paraId="01132762" w14:textId="77777777" w:rsidR="00B278DD" w:rsidRPr="00B278DD" w:rsidRDefault="00B278DD" w:rsidP="00B278DD">
            <w:pPr>
              <w:spacing w:after="0" w:line="240" w:lineRule="auto"/>
              <w:rPr>
                <w:rFonts w:ascii="Arial Narrow" w:eastAsia="Times New Roman" w:hAnsi="Arial Narrow" w:cs="Calibri"/>
                <w:b/>
                <w:bCs/>
                <w:color w:val="FFFFFF"/>
                <w:sz w:val="18"/>
                <w:szCs w:val="18"/>
              </w:rPr>
            </w:pPr>
            <w:r w:rsidRPr="00B278DD">
              <w:rPr>
                <w:rFonts w:ascii="Arial Narrow" w:eastAsia="Times New Roman" w:hAnsi="Arial Narrow" w:cs="Calibri"/>
                <w:b/>
                <w:bCs/>
                <w:color w:val="FFFFFF"/>
                <w:sz w:val="18"/>
                <w:szCs w:val="18"/>
              </w:rPr>
              <w:t>Modifications</w:t>
            </w:r>
          </w:p>
        </w:tc>
      </w:tr>
      <w:tr w:rsidR="00B278DD" w:rsidRPr="00B278DD" w14:paraId="4D9DF8BA"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16B227A9"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FAR</w:t>
            </w:r>
          </w:p>
        </w:tc>
        <w:tc>
          <w:tcPr>
            <w:tcW w:w="799" w:type="dxa"/>
            <w:tcBorders>
              <w:top w:val="nil"/>
              <w:left w:val="nil"/>
              <w:bottom w:val="single" w:sz="4" w:space="0" w:color="auto"/>
              <w:right w:val="single" w:sz="4" w:space="0" w:color="auto"/>
            </w:tcBorders>
            <w:shd w:val="clear" w:color="000000" w:fill="D5DCE4"/>
            <w:noWrap/>
            <w:vAlign w:val="center"/>
            <w:hideMark/>
          </w:tcPr>
          <w:p w14:paraId="4BA843B4"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52.215-22 </w:t>
            </w:r>
          </w:p>
        </w:tc>
        <w:tc>
          <w:tcPr>
            <w:tcW w:w="2619" w:type="dxa"/>
            <w:tcBorders>
              <w:top w:val="nil"/>
              <w:left w:val="nil"/>
              <w:bottom w:val="single" w:sz="4" w:space="0" w:color="auto"/>
              <w:right w:val="single" w:sz="4" w:space="0" w:color="auto"/>
            </w:tcBorders>
            <w:shd w:val="clear" w:color="000000" w:fill="D5DCE4"/>
            <w:noWrap/>
            <w:vAlign w:val="center"/>
            <w:hideMark/>
          </w:tcPr>
          <w:p w14:paraId="113A2AE8"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Limitations on Pass-Through Charges-Identification of Subcontract Effort.</w:t>
            </w:r>
          </w:p>
        </w:tc>
        <w:tc>
          <w:tcPr>
            <w:tcW w:w="810" w:type="dxa"/>
            <w:tcBorders>
              <w:top w:val="nil"/>
              <w:left w:val="nil"/>
              <w:bottom w:val="single" w:sz="4" w:space="0" w:color="auto"/>
              <w:right w:val="single" w:sz="4" w:space="0" w:color="auto"/>
            </w:tcBorders>
            <w:shd w:val="clear" w:color="auto" w:fill="auto"/>
            <w:noWrap/>
            <w:vAlign w:val="center"/>
            <w:hideMark/>
          </w:tcPr>
          <w:p w14:paraId="7F8CC9F0"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Oct-09</w:t>
            </w:r>
          </w:p>
        </w:tc>
        <w:tc>
          <w:tcPr>
            <w:tcW w:w="4680" w:type="dxa"/>
            <w:tcBorders>
              <w:top w:val="nil"/>
              <w:left w:val="nil"/>
              <w:bottom w:val="single" w:sz="4" w:space="0" w:color="auto"/>
              <w:right w:val="single" w:sz="4" w:space="0" w:color="auto"/>
            </w:tcBorders>
            <w:shd w:val="clear" w:color="auto" w:fill="auto"/>
            <w:vAlign w:val="center"/>
            <w:hideMark/>
          </w:tcPr>
          <w:p w14:paraId="572BFD37"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w:t>
            </w:r>
          </w:p>
        </w:tc>
      </w:tr>
      <w:tr w:rsidR="00B278DD" w:rsidRPr="00B278DD" w14:paraId="79478C04" w14:textId="77777777" w:rsidTr="00B278DD">
        <w:trPr>
          <w:trHeight w:val="450"/>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405BD7EE"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FAR</w:t>
            </w:r>
          </w:p>
        </w:tc>
        <w:tc>
          <w:tcPr>
            <w:tcW w:w="799" w:type="dxa"/>
            <w:tcBorders>
              <w:top w:val="nil"/>
              <w:left w:val="nil"/>
              <w:bottom w:val="single" w:sz="4" w:space="0" w:color="auto"/>
              <w:right w:val="single" w:sz="4" w:space="0" w:color="auto"/>
            </w:tcBorders>
            <w:shd w:val="clear" w:color="000000" w:fill="D5DCE4"/>
            <w:noWrap/>
            <w:vAlign w:val="center"/>
            <w:hideMark/>
          </w:tcPr>
          <w:p w14:paraId="1E778F91"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52.228-3 </w:t>
            </w:r>
          </w:p>
        </w:tc>
        <w:tc>
          <w:tcPr>
            <w:tcW w:w="2619" w:type="dxa"/>
            <w:tcBorders>
              <w:top w:val="nil"/>
              <w:left w:val="nil"/>
              <w:bottom w:val="single" w:sz="4" w:space="0" w:color="auto"/>
              <w:right w:val="single" w:sz="4" w:space="0" w:color="auto"/>
            </w:tcBorders>
            <w:shd w:val="clear" w:color="000000" w:fill="D5DCE4"/>
            <w:noWrap/>
            <w:vAlign w:val="center"/>
            <w:hideMark/>
          </w:tcPr>
          <w:p w14:paraId="6BCB79CD"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Workers' Compensation Insurance (Defense Base Act).</w:t>
            </w:r>
          </w:p>
        </w:tc>
        <w:tc>
          <w:tcPr>
            <w:tcW w:w="810" w:type="dxa"/>
            <w:tcBorders>
              <w:top w:val="nil"/>
              <w:left w:val="nil"/>
              <w:bottom w:val="single" w:sz="4" w:space="0" w:color="auto"/>
              <w:right w:val="single" w:sz="4" w:space="0" w:color="auto"/>
            </w:tcBorders>
            <w:shd w:val="clear" w:color="auto" w:fill="auto"/>
            <w:noWrap/>
            <w:vAlign w:val="center"/>
            <w:hideMark/>
          </w:tcPr>
          <w:p w14:paraId="780C9C4A"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Jul-14</w:t>
            </w:r>
          </w:p>
        </w:tc>
        <w:tc>
          <w:tcPr>
            <w:tcW w:w="4680" w:type="dxa"/>
            <w:tcBorders>
              <w:top w:val="nil"/>
              <w:left w:val="nil"/>
              <w:bottom w:val="single" w:sz="4" w:space="0" w:color="auto"/>
              <w:right w:val="single" w:sz="4" w:space="0" w:color="auto"/>
            </w:tcBorders>
            <w:shd w:val="clear" w:color="auto" w:fill="auto"/>
            <w:vAlign w:val="center"/>
            <w:hideMark/>
          </w:tcPr>
          <w:p w14:paraId="16D4B59A" w14:textId="2AA1D0F0"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Applies if Seller will perform work</w:t>
            </w:r>
            <w:r>
              <w:rPr>
                <w:rFonts w:ascii="Arial Narrow" w:eastAsia="Times New Roman" w:hAnsi="Arial Narrow" w:cs="Calibri"/>
                <w:color w:val="000000"/>
                <w:sz w:val="18"/>
                <w:szCs w:val="18"/>
              </w:rPr>
              <w:t xml:space="preserve"> </w:t>
            </w:r>
            <w:r w:rsidRPr="00B278DD">
              <w:rPr>
                <w:rFonts w:ascii="Arial Narrow" w:eastAsia="Times New Roman" w:hAnsi="Arial Narrow" w:cs="Calibri"/>
                <w:color w:val="000000"/>
                <w:sz w:val="18"/>
                <w:szCs w:val="18"/>
              </w:rPr>
              <w:t>subject to the Defense Base Act 42 U.S.C. 1651 et seq.)</w:t>
            </w:r>
          </w:p>
        </w:tc>
      </w:tr>
      <w:tr w:rsidR="00B278DD" w:rsidRPr="00B278DD" w14:paraId="1075A4BB"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48D362B3"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FAR</w:t>
            </w:r>
          </w:p>
        </w:tc>
        <w:tc>
          <w:tcPr>
            <w:tcW w:w="799" w:type="dxa"/>
            <w:tcBorders>
              <w:top w:val="nil"/>
              <w:left w:val="nil"/>
              <w:bottom w:val="single" w:sz="4" w:space="0" w:color="auto"/>
              <w:right w:val="single" w:sz="4" w:space="0" w:color="auto"/>
            </w:tcBorders>
            <w:shd w:val="clear" w:color="000000" w:fill="D5DCE4"/>
            <w:noWrap/>
            <w:vAlign w:val="center"/>
            <w:hideMark/>
          </w:tcPr>
          <w:p w14:paraId="707E4092"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52.228-4 </w:t>
            </w:r>
          </w:p>
        </w:tc>
        <w:tc>
          <w:tcPr>
            <w:tcW w:w="2619" w:type="dxa"/>
            <w:tcBorders>
              <w:top w:val="nil"/>
              <w:left w:val="nil"/>
              <w:bottom w:val="single" w:sz="4" w:space="0" w:color="auto"/>
              <w:right w:val="single" w:sz="4" w:space="0" w:color="auto"/>
            </w:tcBorders>
            <w:shd w:val="clear" w:color="000000" w:fill="D5DCE4"/>
            <w:noWrap/>
            <w:vAlign w:val="center"/>
            <w:hideMark/>
          </w:tcPr>
          <w:p w14:paraId="36800F2F"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Workers' Compensation and War-Hazard Insurance Overseas.</w:t>
            </w:r>
          </w:p>
        </w:tc>
        <w:tc>
          <w:tcPr>
            <w:tcW w:w="810" w:type="dxa"/>
            <w:tcBorders>
              <w:top w:val="nil"/>
              <w:left w:val="nil"/>
              <w:bottom w:val="single" w:sz="4" w:space="0" w:color="auto"/>
              <w:right w:val="single" w:sz="4" w:space="0" w:color="auto"/>
            </w:tcBorders>
            <w:shd w:val="clear" w:color="auto" w:fill="auto"/>
            <w:noWrap/>
            <w:vAlign w:val="center"/>
            <w:hideMark/>
          </w:tcPr>
          <w:p w14:paraId="69D35883"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Apr-84</w:t>
            </w:r>
          </w:p>
        </w:tc>
        <w:tc>
          <w:tcPr>
            <w:tcW w:w="4680" w:type="dxa"/>
            <w:tcBorders>
              <w:top w:val="nil"/>
              <w:left w:val="nil"/>
              <w:bottom w:val="single" w:sz="4" w:space="0" w:color="auto"/>
              <w:right w:val="single" w:sz="4" w:space="0" w:color="auto"/>
            </w:tcBorders>
            <w:shd w:val="clear" w:color="auto" w:fill="auto"/>
            <w:vAlign w:val="center"/>
            <w:hideMark/>
          </w:tcPr>
          <w:p w14:paraId="6BF77CA5"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None.</w:t>
            </w:r>
          </w:p>
        </w:tc>
      </w:tr>
      <w:tr w:rsidR="00B278DD" w:rsidRPr="00B278DD" w14:paraId="3FC9EFE1"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0C3D44DF"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FAR</w:t>
            </w:r>
          </w:p>
        </w:tc>
        <w:tc>
          <w:tcPr>
            <w:tcW w:w="799" w:type="dxa"/>
            <w:tcBorders>
              <w:top w:val="nil"/>
              <w:left w:val="nil"/>
              <w:bottom w:val="single" w:sz="4" w:space="0" w:color="auto"/>
              <w:right w:val="single" w:sz="4" w:space="0" w:color="auto"/>
            </w:tcBorders>
            <w:shd w:val="clear" w:color="000000" w:fill="D5DCE4"/>
            <w:noWrap/>
            <w:vAlign w:val="center"/>
            <w:hideMark/>
          </w:tcPr>
          <w:p w14:paraId="2587D590"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52.215-23 ALT I </w:t>
            </w:r>
          </w:p>
        </w:tc>
        <w:tc>
          <w:tcPr>
            <w:tcW w:w="2619" w:type="dxa"/>
            <w:tcBorders>
              <w:top w:val="nil"/>
              <w:left w:val="nil"/>
              <w:bottom w:val="single" w:sz="4" w:space="0" w:color="auto"/>
              <w:right w:val="single" w:sz="4" w:space="0" w:color="auto"/>
            </w:tcBorders>
            <w:shd w:val="clear" w:color="000000" w:fill="D5DCE4"/>
            <w:noWrap/>
            <w:vAlign w:val="center"/>
            <w:hideMark/>
          </w:tcPr>
          <w:p w14:paraId="6718B1C7"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Alternate I - Limitations on Pass-Through Charges.</w:t>
            </w:r>
          </w:p>
        </w:tc>
        <w:tc>
          <w:tcPr>
            <w:tcW w:w="810" w:type="dxa"/>
            <w:tcBorders>
              <w:top w:val="nil"/>
              <w:left w:val="nil"/>
              <w:bottom w:val="single" w:sz="4" w:space="0" w:color="auto"/>
              <w:right w:val="single" w:sz="4" w:space="0" w:color="auto"/>
            </w:tcBorders>
            <w:shd w:val="clear" w:color="auto" w:fill="auto"/>
            <w:noWrap/>
            <w:vAlign w:val="center"/>
            <w:hideMark/>
          </w:tcPr>
          <w:p w14:paraId="39690F89"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Oct-09</w:t>
            </w:r>
          </w:p>
        </w:tc>
        <w:tc>
          <w:tcPr>
            <w:tcW w:w="4680" w:type="dxa"/>
            <w:tcBorders>
              <w:top w:val="nil"/>
              <w:left w:val="nil"/>
              <w:bottom w:val="single" w:sz="4" w:space="0" w:color="auto"/>
              <w:right w:val="single" w:sz="4" w:space="0" w:color="auto"/>
            </w:tcBorders>
            <w:shd w:val="clear" w:color="auto" w:fill="auto"/>
            <w:vAlign w:val="center"/>
            <w:hideMark/>
          </w:tcPr>
          <w:p w14:paraId="0E85D85C"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w:t>
            </w:r>
          </w:p>
        </w:tc>
      </w:tr>
      <w:tr w:rsidR="00B278DD" w:rsidRPr="00B278DD" w14:paraId="4A96885C"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410455E4"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FAR</w:t>
            </w:r>
          </w:p>
        </w:tc>
        <w:tc>
          <w:tcPr>
            <w:tcW w:w="799" w:type="dxa"/>
            <w:tcBorders>
              <w:top w:val="nil"/>
              <w:left w:val="nil"/>
              <w:bottom w:val="single" w:sz="4" w:space="0" w:color="auto"/>
              <w:right w:val="single" w:sz="4" w:space="0" w:color="auto"/>
            </w:tcBorders>
            <w:shd w:val="clear" w:color="000000" w:fill="D5DCE4"/>
            <w:noWrap/>
            <w:vAlign w:val="center"/>
            <w:hideMark/>
          </w:tcPr>
          <w:p w14:paraId="5E5FECC9"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52.246-9 </w:t>
            </w:r>
          </w:p>
        </w:tc>
        <w:tc>
          <w:tcPr>
            <w:tcW w:w="2619" w:type="dxa"/>
            <w:tcBorders>
              <w:top w:val="nil"/>
              <w:left w:val="nil"/>
              <w:bottom w:val="single" w:sz="4" w:space="0" w:color="auto"/>
              <w:right w:val="single" w:sz="4" w:space="0" w:color="auto"/>
            </w:tcBorders>
            <w:shd w:val="clear" w:color="000000" w:fill="D5DCE4"/>
            <w:noWrap/>
            <w:vAlign w:val="center"/>
            <w:hideMark/>
          </w:tcPr>
          <w:p w14:paraId="210BB682"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Inspection of Research and Development (Short Form).</w:t>
            </w:r>
          </w:p>
        </w:tc>
        <w:tc>
          <w:tcPr>
            <w:tcW w:w="810" w:type="dxa"/>
            <w:tcBorders>
              <w:top w:val="nil"/>
              <w:left w:val="nil"/>
              <w:bottom w:val="single" w:sz="4" w:space="0" w:color="auto"/>
              <w:right w:val="single" w:sz="4" w:space="0" w:color="auto"/>
            </w:tcBorders>
            <w:shd w:val="clear" w:color="auto" w:fill="auto"/>
            <w:noWrap/>
            <w:vAlign w:val="center"/>
            <w:hideMark/>
          </w:tcPr>
          <w:p w14:paraId="59656ABF"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Apr-84</w:t>
            </w:r>
          </w:p>
        </w:tc>
        <w:tc>
          <w:tcPr>
            <w:tcW w:w="4680" w:type="dxa"/>
            <w:tcBorders>
              <w:top w:val="nil"/>
              <w:left w:val="nil"/>
              <w:bottom w:val="single" w:sz="4" w:space="0" w:color="auto"/>
              <w:right w:val="single" w:sz="4" w:space="0" w:color="auto"/>
            </w:tcBorders>
            <w:shd w:val="clear" w:color="auto" w:fill="auto"/>
            <w:vAlign w:val="center"/>
            <w:hideMark/>
          </w:tcPr>
          <w:p w14:paraId="22BD1334" w14:textId="1CD958B6"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"Government" means "Lockheed Martin and</w:t>
            </w:r>
            <w:r>
              <w:rPr>
                <w:rFonts w:ascii="Arial Narrow" w:eastAsia="Times New Roman" w:hAnsi="Arial Narrow" w:cs="Calibri"/>
                <w:color w:val="000000"/>
                <w:sz w:val="18"/>
                <w:szCs w:val="18"/>
              </w:rPr>
              <w:t xml:space="preserve"> </w:t>
            </w:r>
            <w:r w:rsidRPr="00B278DD">
              <w:rPr>
                <w:rFonts w:ascii="Arial Narrow" w:eastAsia="Times New Roman" w:hAnsi="Arial Narrow" w:cs="Calibri"/>
                <w:color w:val="000000"/>
                <w:sz w:val="18"/>
                <w:szCs w:val="18"/>
              </w:rPr>
              <w:t>the Government."</w:t>
            </w:r>
          </w:p>
        </w:tc>
      </w:tr>
      <w:tr w:rsidR="00B278DD" w:rsidRPr="00B278DD" w14:paraId="3F8FD68F"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0BF9FC6E"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FAR</w:t>
            </w:r>
          </w:p>
        </w:tc>
        <w:tc>
          <w:tcPr>
            <w:tcW w:w="799" w:type="dxa"/>
            <w:tcBorders>
              <w:top w:val="nil"/>
              <w:left w:val="nil"/>
              <w:bottom w:val="single" w:sz="4" w:space="0" w:color="auto"/>
              <w:right w:val="single" w:sz="4" w:space="0" w:color="auto"/>
            </w:tcBorders>
            <w:shd w:val="clear" w:color="000000" w:fill="D5DCE4"/>
            <w:noWrap/>
            <w:vAlign w:val="center"/>
            <w:hideMark/>
          </w:tcPr>
          <w:p w14:paraId="1055B49F"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52.223-15 </w:t>
            </w:r>
          </w:p>
        </w:tc>
        <w:tc>
          <w:tcPr>
            <w:tcW w:w="2619" w:type="dxa"/>
            <w:tcBorders>
              <w:top w:val="nil"/>
              <w:left w:val="nil"/>
              <w:bottom w:val="single" w:sz="4" w:space="0" w:color="auto"/>
              <w:right w:val="single" w:sz="4" w:space="0" w:color="auto"/>
            </w:tcBorders>
            <w:shd w:val="clear" w:color="000000" w:fill="D5DCE4"/>
            <w:noWrap/>
            <w:vAlign w:val="center"/>
            <w:hideMark/>
          </w:tcPr>
          <w:p w14:paraId="42FEF521"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Energy Efficiency in Energy-Consuming Products.</w:t>
            </w:r>
          </w:p>
        </w:tc>
        <w:tc>
          <w:tcPr>
            <w:tcW w:w="810" w:type="dxa"/>
            <w:tcBorders>
              <w:top w:val="nil"/>
              <w:left w:val="nil"/>
              <w:bottom w:val="single" w:sz="4" w:space="0" w:color="auto"/>
              <w:right w:val="single" w:sz="4" w:space="0" w:color="auto"/>
            </w:tcBorders>
            <w:shd w:val="clear" w:color="auto" w:fill="auto"/>
            <w:noWrap/>
            <w:vAlign w:val="center"/>
            <w:hideMark/>
          </w:tcPr>
          <w:p w14:paraId="4A0EC3C3"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May-20</w:t>
            </w:r>
          </w:p>
        </w:tc>
        <w:tc>
          <w:tcPr>
            <w:tcW w:w="4680" w:type="dxa"/>
            <w:tcBorders>
              <w:top w:val="nil"/>
              <w:left w:val="nil"/>
              <w:bottom w:val="single" w:sz="4" w:space="0" w:color="auto"/>
              <w:right w:val="single" w:sz="4" w:space="0" w:color="auto"/>
            </w:tcBorders>
            <w:shd w:val="clear" w:color="auto" w:fill="auto"/>
            <w:vAlign w:val="center"/>
            <w:hideMark/>
          </w:tcPr>
          <w:p w14:paraId="3378E256"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N/A.</w:t>
            </w:r>
          </w:p>
        </w:tc>
      </w:tr>
      <w:tr w:rsidR="00B278DD" w:rsidRPr="00B278DD" w14:paraId="5BF7D837"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0C26F336"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FAR</w:t>
            </w:r>
          </w:p>
        </w:tc>
        <w:tc>
          <w:tcPr>
            <w:tcW w:w="799" w:type="dxa"/>
            <w:tcBorders>
              <w:top w:val="nil"/>
              <w:left w:val="nil"/>
              <w:bottom w:val="single" w:sz="4" w:space="0" w:color="auto"/>
              <w:right w:val="single" w:sz="4" w:space="0" w:color="auto"/>
            </w:tcBorders>
            <w:shd w:val="clear" w:color="000000" w:fill="D5DCE4"/>
            <w:noWrap/>
            <w:vAlign w:val="center"/>
            <w:hideMark/>
          </w:tcPr>
          <w:p w14:paraId="4D4D0821"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52.243-1 ALT I </w:t>
            </w:r>
          </w:p>
        </w:tc>
        <w:tc>
          <w:tcPr>
            <w:tcW w:w="2619" w:type="dxa"/>
            <w:tcBorders>
              <w:top w:val="nil"/>
              <w:left w:val="nil"/>
              <w:bottom w:val="single" w:sz="4" w:space="0" w:color="auto"/>
              <w:right w:val="single" w:sz="4" w:space="0" w:color="auto"/>
            </w:tcBorders>
            <w:shd w:val="clear" w:color="000000" w:fill="D5DCE4"/>
            <w:noWrap/>
            <w:vAlign w:val="center"/>
            <w:hideMark/>
          </w:tcPr>
          <w:p w14:paraId="1F3DA598"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Alternate I - Changes-Fixed-Price.</w:t>
            </w:r>
          </w:p>
        </w:tc>
        <w:tc>
          <w:tcPr>
            <w:tcW w:w="810" w:type="dxa"/>
            <w:tcBorders>
              <w:top w:val="nil"/>
              <w:left w:val="nil"/>
              <w:bottom w:val="single" w:sz="4" w:space="0" w:color="auto"/>
              <w:right w:val="single" w:sz="4" w:space="0" w:color="auto"/>
            </w:tcBorders>
            <w:shd w:val="clear" w:color="auto" w:fill="auto"/>
            <w:noWrap/>
            <w:vAlign w:val="center"/>
            <w:hideMark/>
          </w:tcPr>
          <w:p w14:paraId="1B067643"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Apr-84</w:t>
            </w:r>
          </w:p>
        </w:tc>
        <w:tc>
          <w:tcPr>
            <w:tcW w:w="4680" w:type="dxa"/>
            <w:tcBorders>
              <w:top w:val="nil"/>
              <w:left w:val="nil"/>
              <w:bottom w:val="single" w:sz="4" w:space="0" w:color="auto"/>
              <w:right w:val="single" w:sz="4" w:space="0" w:color="auto"/>
            </w:tcBorders>
            <w:shd w:val="clear" w:color="auto" w:fill="auto"/>
            <w:vAlign w:val="center"/>
            <w:hideMark/>
          </w:tcPr>
          <w:p w14:paraId="61F3AB19"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w:t>
            </w:r>
          </w:p>
        </w:tc>
      </w:tr>
      <w:tr w:rsidR="00B278DD" w:rsidRPr="00B278DD" w14:paraId="3045AAC1" w14:textId="77777777" w:rsidTr="00B278DD">
        <w:trPr>
          <w:trHeight w:val="450"/>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4E2E92AB"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FAR</w:t>
            </w:r>
          </w:p>
        </w:tc>
        <w:tc>
          <w:tcPr>
            <w:tcW w:w="799" w:type="dxa"/>
            <w:tcBorders>
              <w:top w:val="nil"/>
              <w:left w:val="nil"/>
              <w:bottom w:val="single" w:sz="4" w:space="0" w:color="auto"/>
              <w:right w:val="single" w:sz="4" w:space="0" w:color="auto"/>
            </w:tcBorders>
            <w:shd w:val="clear" w:color="000000" w:fill="D5DCE4"/>
            <w:noWrap/>
            <w:vAlign w:val="center"/>
            <w:hideMark/>
          </w:tcPr>
          <w:p w14:paraId="6BBD780B"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52.245-9 </w:t>
            </w:r>
          </w:p>
        </w:tc>
        <w:tc>
          <w:tcPr>
            <w:tcW w:w="2619" w:type="dxa"/>
            <w:tcBorders>
              <w:top w:val="nil"/>
              <w:left w:val="nil"/>
              <w:bottom w:val="single" w:sz="4" w:space="0" w:color="auto"/>
              <w:right w:val="single" w:sz="4" w:space="0" w:color="auto"/>
            </w:tcBorders>
            <w:shd w:val="clear" w:color="000000" w:fill="D5DCE4"/>
            <w:noWrap/>
            <w:vAlign w:val="center"/>
            <w:hideMark/>
          </w:tcPr>
          <w:p w14:paraId="5EB33A9A"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Use and Charges.</w:t>
            </w:r>
          </w:p>
        </w:tc>
        <w:tc>
          <w:tcPr>
            <w:tcW w:w="810" w:type="dxa"/>
            <w:tcBorders>
              <w:top w:val="nil"/>
              <w:left w:val="nil"/>
              <w:bottom w:val="single" w:sz="4" w:space="0" w:color="auto"/>
              <w:right w:val="single" w:sz="4" w:space="0" w:color="auto"/>
            </w:tcBorders>
            <w:shd w:val="clear" w:color="auto" w:fill="auto"/>
            <w:noWrap/>
            <w:vAlign w:val="center"/>
            <w:hideMark/>
          </w:tcPr>
          <w:p w14:paraId="1CDC027C"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Apr-12</w:t>
            </w:r>
          </w:p>
        </w:tc>
        <w:tc>
          <w:tcPr>
            <w:tcW w:w="4680" w:type="dxa"/>
            <w:tcBorders>
              <w:top w:val="nil"/>
              <w:left w:val="nil"/>
              <w:bottom w:val="single" w:sz="4" w:space="0" w:color="auto"/>
              <w:right w:val="single" w:sz="4" w:space="0" w:color="auto"/>
            </w:tcBorders>
            <w:shd w:val="clear" w:color="auto" w:fill="auto"/>
            <w:vAlign w:val="center"/>
            <w:hideMark/>
          </w:tcPr>
          <w:p w14:paraId="3F580F09"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Communications with the Government under this clause will be made through Lockheed Martin.</w:t>
            </w:r>
          </w:p>
        </w:tc>
      </w:tr>
      <w:tr w:rsidR="00B278DD" w:rsidRPr="00B278DD" w14:paraId="6875DAC2"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7BB489D2"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DFARS</w:t>
            </w:r>
          </w:p>
        </w:tc>
        <w:tc>
          <w:tcPr>
            <w:tcW w:w="799" w:type="dxa"/>
            <w:tcBorders>
              <w:top w:val="nil"/>
              <w:left w:val="nil"/>
              <w:bottom w:val="single" w:sz="4" w:space="0" w:color="auto"/>
              <w:right w:val="single" w:sz="4" w:space="0" w:color="auto"/>
            </w:tcBorders>
            <w:shd w:val="clear" w:color="000000" w:fill="D5DCE4"/>
            <w:noWrap/>
            <w:vAlign w:val="center"/>
            <w:hideMark/>
          </w:tcPr>
          <w:p w14:paraId="58184A14"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252.245-7004 </w:t>
            </w:r>
          </w:p>
        </w:tc>
        <w:tc>
          <w:tcPr>
            <w:tcW w:w="2619" w:type="dxa"/>
            <w:tcBorders>
              <w:top w:val="nil"/>
              <w:left w:val="nil"/>
              <w:bottom w:val="single" w:sz="4" w:space="0" w:color="auto"/>
              <w:right w:val="single" w:sz="4" w:space="0" w:color="auto"/>
            </w:tcBorders>
            <w:shd w:val="clear" w:color="000000" w:fill="D5DCE4"/>
            <w:noWrap/>
            <w:vAlign w:val="center"/>
            <w:hideMark/>
          </w:tcPr>
          <w:p w14:paraId="36DEC6CB"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Reporting, Reutilization, and Disposal.</w:t>
            </w:r>
          </w:p>
        </w:tc>
        <w:tc>
          <w:tcPr>
            <w:tcW w:w="810" w:type="dxa"/>
            <w:tcBorders>
              <w:top w:val="nil"/>
              <w:left w:val="nil"/>
              <w:bottom w:val="single" w:sz="4" w:space="0" w:color="auto"/>
              <w:right w:val="single" w:sz="4" w:space="0" w:color="auto"/>
            </w:tcBorders>
            <w:shd w:val="clear" w:color="auto" w:fill="auto"/>
            <w:noWrap/>
            <w:vAlign w:val="center"/>
            <w:hideMark/>
          </w:tcPr>
          <w:p w14:paraId="1B7D384F"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Dec-17</w:t>
            </w:r>
          </w:p>
        </w:tc>
        <w:tc>
          <w:tcPr>
            <w:tcW w:w="4680" w:type="dxa"/>
            <w:tcBorders>
              <w:top w:val="nil"/>
              <w:left w:val="nil"/>
              <w:bottom w:val="single" w:sz="4" w:space="0" w:color="auto"/>
              <w:right w:val="single" w:sz="4" w:space="0" w:color="auto"/>
            </w:tcBorders>
            <w:shd w:val="clear" w:color="auto" w:fill="auto"/>
            <w:vAlign w:val="center"/>
            <w:hideMark/>
          </w:tcPr>
          <w:p w14:paraId="2DE5EB05"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"Contracting Officer" means Lockheed Martin.</w:t>
            </w:r>
          </w:p>
        </w:tc>
      </w:tr>
      <w:tr w:rsidR="00B278DD" w:rsidRPr="00B278DD" w14:paraId="73515305"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0C562A4F"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DFARS</w:t>
            </w:r>
          </w:p>
        </w:tc>
        <w:tc>
          <w:tcPr>
            <w:tcW w:w="799" w:type="dxa"/>
            <w:tcBorders>
              <w:top w:val="nil"/>
              <w:left w:val="nil"/>
              <w:bottom w:val="single" w:sz="4" w:space="0" w:color="auto"/>
              <w:right w:val="single" w:sz="4" w:space="0" w:color="auto"/>
            </w:tcBorders>
            <w:shd w:val="clear" w:color="000000" w:fill="D5DCE4"/>
            <w:noWrap/>
            <w:vAlign w:val="center"/>
            <w:hideMark/>
          </w:tcPr>
          <w:p w14:paraId="60A1C667"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252.228-7003 </w:t>
            </w:r>
          </w:p>
        </w:tc>
        <w:tc>
          <w:tcPr>
            <w:tcW w:w="2619" w:type="dxa"/>
            <w:tcBorders>
              <w:top w:val="nil"/>
              <w:left w:val="nil"/>
              <w:bottom w:val="single" w:sz="4" w:space="0" w:color="auto"/>
              <w:right w:val="single" w:sz="4" w:space="0" w:color="auto"/>
            </w:tcBorders>
            <w:shd w:val="clear" w:color="000000" w:fill="D5DCE4"/>
            <w:noWrap/>
            <w:vAlign w:val="center"/>
            <w:hideMark/>
          </w:tcPr>
          <w:p w14:paraId="394555FA"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Capture and Detention.</w:t>
            </w:r>
          </w:p>
        </w:tc>
        <w:tc>
          <w:tcPr>
            <w:tcW w:w="810" w:type="dxa"/>
            <w:tcBorders>
              <w:top w:val="nil"/>
              <w:left w:val="nil"/>
              <w:bottom w:val="single" w:sz="4" w:space="0" w:color="auto"/>
              <w:right w:val="single" w:sz="4" w:space="0" w:color="auto"/>
            </w:tcBorders>
            <w:shd w:val="clear" w:color="auto" w:fill="auto"/>
            <w:noWrap/>
            <w:vAlign w:val="center"/>
            <w:hideMark/>
          </w:tcPr>
          <w:p w14:paraId="34003BA0"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Jun-10</w:t>
            </w:r>
          </w:p>
        </w:tc>
        <w:tc>
          <w:tcPr>
            <w:tcW w:w="4680" w:type="dxa"/>
            <w:tcBorders>
              <w:top w:val="nil"/>
              <w:left w:val="nil"/>
              <w:bottom w:val="single" w:sz="4" w:space="0" w:color="auto"/>
              <w:right w:val="single" w:sz="4" w:space="0" w:color="auto"/>
            </w:tcBorders>
            <w:shd w:val="clear" w:color="auto" w:fill="auto"/>
            <w:vAlign w:val="center"/>
            <w:hideMark/>
          </w:tcPr>
          <w:p w14:paraId="07FC40DF"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N/A.</w:t>
            </w:r>
          </w:p>
        </w:tc>
      </w:tr>
      <w:tr w:rsidR="00B278DD" w:rsidRPr="00B278DD" w14:paraId="35B8B210" w14:textId="77777777" w:rsidTr="00B278DD">
        <w:trPr>
          <w:trHeight w:val="450"/>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11EAE6DF"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DFARS</w:t>
            </w:r>
          </w:p>
        </w:tc>
        <w:tc>
          <w:tcPr>
            <w:tcW w:w="799" w:type="dxa"/>
            <w:tcBorders>
              <w:top w:val="nil"/>
              <w:left w:val="nil"/>
              <w:bottom w:val="single" w:sz="4" w:space="0" w:color="auto"/>
              <w:right w:val="single" w:sz="4" w:space="0" w:color="auto"/>
            </w:tcBorders>
            <w:shd w:val="clear" w:color="000000" w:fill="D5DCE4"/>
            <w:noWrap/>
            <w:vAlign w:val="center"/>
            <w:hideMark/>
          </w:tcPr>
          <w:p w14:paraId="7BA7BCD2"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252.211-7007 </w:t>
            </w:r>
          </w:p>
        </w:tc>
        <w:tc>
          <w:tcPr>
            <w:tcW w:w="2619" w:type="dxa"/>
            <w:tcBorders>
              <w:top w:val="nil"/>
              <w:left w:val="nil"/>
              <w:bottom w:val="single" w:sz="4" w:space="0" w:color="auto"/>
              <w:right w:val="single" w:sz="4" w:space="0" w:color="auto"/>
            </w:tcBorders>
            <w:shd w:val="clear" w:color="000000" w:fill="D5DCE4"/>
            <w:noWrap/>
            <w:vAlign w:val="center"/>
            <w:hideMark/>
          </w:tcPr>
          <w:p w14:paraId="6D03ACE3"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Reporting of Government-Furnished Property.</w:t>
            </w:r>
          </w:p>
        </w:tc>
        <w:tc>
          <w:tcPr>
            <w:tcW w:w="810" w:type="dxa"/>
            <w:tcBorders>
              <w:top w:val="nil"/>
              <w:left w:val="nil"/>
              <w:bottom w:val="single" w:sz="4" w:space="0" w:color="auto"/>
              <w:right w:val="single" w:sz="4" w:space="0" w:color="auto"/>
            </w:tcBorders>
            <w:shd w:val="clear" w:color="auto" w:fill="auto"/>
            <w:noWrap/>
            <w:vAlign w:val="center"/>
            <w:hideMark/>
          </w:tcPr>
          <w:p w14:paraId="410C702F"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Mar-22</w:t>
            </w:r>
          </w:p>
        </w:tc>
        <w:tc>
          <w:tcPr>
            <w:tcW w:w="4680" w:type="dxa"/>
            <w:tcBorders>
              <w:top w:val="nil"/>
              <w:left w:val="nil"/>
              <w:bottom w:val="single" w:sz="4" w:space="0" w:color="auto"/>
              <w:right w:val="single" w:sz="4" w:space="0" w:color="auto"/>
            </w:tcBorders>
            <w:shd w:val="clear" w:color="auto" w:fill="auto"/>
            <w:vAlign w:val="center"/>
            <w:hideMark/>
          </w:tcPr>
          <w:p w14:paraId="15388E53"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Applies if Seller will be in possession of Government property for the performance of this contract.</w:t>
            </w:r>
          </w:p>
        </w:tc>
      </w:tr>
      <w:tr w:rsidR="00B278DD" w:rsidRPr="00B278DD" w14:paraId="2F2AE91C"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0993D43A"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DFARS</w:t>
            </w:r>
          </w:p>
        </w:tc>
        <w:tc>
          <w:tcPr>
            <w:tcW w:w="799" w:type="dxa"/>
            <w:tcBorders>
              <w:top w:val="nil"/>
              <w:left w:val="nil"/>
              <w:bottom w:val="single" w:sz="4" w:space="0" w:color="auto"/>
              <w:right w:val="single" w:sz="4" w:space="0" w:color="auto"/>
            </w:tcBorders>
            <w:shd w:val="clear" w:color="000000" w:fill="D5DCE4"/>
            <w:noWrap/>
            <w:vAlign w:val="center"/>
            <w:hideMark/>
          </w:tcPr>
          <w:p w14:paraId="07416255"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252.245-7001 </w:t>
            </w:r>
          </w:p>
        </w:tc>
        <w:tc>
          <w:tcPr>
            <w:tcW w:w="2619" w:type="dxa"/>
            <w:tcBorders>
              <w:top w:val="nil"/>
              <w:left w:val="nil"/>
              <w:bottom w:val="single" w:sz="4" w:space="0" w:color="auto"/>
              <w:right w:val="single" w:sz="4" w:space="0" w:color="auto"/>
            </w:tcBorders>
            <w:shd w:val="clear" w:color="000000" w:fill="D5DCE4"/>
            <w:noWrap/>
            <w:vAlign w:val="center"/>
            <w:hideMark/>
          </w:tcPr>
          <w:p w14:paraId="7265FF43"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Tagging, Labeling, and Marking of Government-Furnished Property.</w:t>
            </w:r>
          </w:p>
        </w:tc>
        <w:tc>
          <w:tcPr>
            <w:tcW w:w="810" w:type="dxa"/>
            <w:tcBorders>
              <w:top w:val="nil"/>
              <w:left w:val="nil"/>
              <w:bottom w:val="single" w:sz="4" w:space="0" w:color="auto"/>
              <w:right w:val="single" w:sz="4" w:space="0" w:color="auto"/>
            </w:tcBorders>
            <w:shd w:val="clear" w:color="auto" w:fill="auto"/>
            <w:noWrap/>
            <w:vAlign w:val="center"/>
            <w:hideMark/>
          </w:tcPr>
          <w:p w14:paraId="4DFEA9DF"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Apr-12</w:t>
            </w:r>
          </w:p>
        </w:tc>
        <w:tc>
          <w:tcPr>
            <w:tcW w:w="4680" w:type="dxa"/>
            <w:tcBorders>
              <w:top w:val="nil"/>
              <w:left w:val="nil"/>
              <w:bottom w:val="single" w:sz="4" w:space="0" w:color="auto"/>
              <w:right w:val="single" w:sz="4" w:space="0" w:color="auto"/>
            </w:tcBorders>
            <w:shd w:val="clear" w:color="auto" w:fill="auto"/>
            <w:vAlign w:val="center"/>
            <w:hideMark/>
          </w:tcPr>
          <w:p w14:paraId="3DC7A5A8"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N/A.</w:t>
            </w:r>
          </w:p>
        </w:tc>
      </w:tr>
      <w:tr w:rsidR="00B278DD" w:rsidRPr="00B278DD" w14:paraId="744D8E98" w14:textId="77777777" w:rsidTr="00B278DD">
        <w:trPr>
          <w:trHeight w:val="1801"/>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1C3DB12A"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DFARS</w:t>
            </w:r>
          </w:p>
        </w:tc>
        <w:tc>
          <w:tcPr>
            <w:tcW w:w="799" w:type="dxa"/>
            <w:tcBorders>
              <w:top w:val="nil"/>
              <w:left w:val="nil"/>
              <w:bottom w:val="single" w:sz="4" w:space="0" w:color="auto"/>
              <w:right w:val="single" w:sz="4" w:space="0" w:color="auto"/>
            </w:tcBorders>
            <w:shd w:val="clear" w:color="000000" w:fill="D5DCE4"/>
            <w:noWrap/>
            <w:vAlign w:val="center"/>
            <w:hideMark/>
          </w:tcPr>
          <w:p w14:paraId="05C25182"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252.246-7001 </w:t>
            </w:r>
          </w:p>
        </w:tc>
        <w:tc>
          <w:tcPr>
            <w:tcW w:w="2619" w:type="dxa"/>
            <w:tcBorders>
              <w:top w:val="nil"/>
              <w:left w:val="nil"/>
              <w:bottom w:val="single" w:sz="4" w:space="0" w:color="auto"/>
              <w:right w:val="single" w:sz="4" w:space="0" w:color="auto"/>
            </w:tcBorders>
            <w:shd w:val="clear" w:color="000000" w:fill="D5DCE4"/>
            <w:noWrap/>
            <w:vAlign w:val="center"/>
            <w:hideMark/>
          </w:tcPr>
          <w:p w14:paraId="0ABD9304"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Warranty of data.</w:t>
            </w:r>
          </w:p>
        </w:tc>
        <w:tc>
          <w:tcPr>
            <w:tcW w:w="810" w:type="dxa"/>
            <w:tcBorders>
              <w:top w:val="nil"/>
              <w:left w:val="nil"/>
              <w:bottom w:val="single" w:sz="4" w:space="0" w:color="auto"/>
              <w:right w:val="single" w:sz="4" w:space="0" w:color="auto"/>
            </w:tcBorders>
            <w:shd w:val="clear" w:color="auto" w:fill="auto"/>
            <w:noWrap/>
            <w:vAlign w:val="center"/>
            <w:hideMark/>
          </w:tcPr>
          <w:p w14:paraId="25BDA911"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Mar-14</w:t>
            </w:r>
          </w:p>
        </w:tc>
        <w:tc>
          <w:tcPr>
            <w:tcW w:w="4680" w:type="dxa"/>
            <w:tcBorders>
              <w:top w:val="nil"/>
              <w:left w:val="nil"/>
              <w:bottom w:val="single" w:sz="4" w:space="0" w:color="auto"/>
              <w:right w:val="single" w:sz="4" w:space="0" w:color="auto"/>
            </w:tcBorders>
            <w:shd w:val="clear" w:color="auto" w:fill="auto"/>
            <w:vAlign w:val="center"/>
            <w:hideMark/>
          </w:tcPr>
          <w:p w14:paraId="780BB5E2" w14:textId="3A86E0C9"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"Government" means "Lockheed Martin or</w:t>
            </w:r>
            <w:r>
              <w:rPr>
                <w:rFonts w:ascii="Arial Narrow" w:eastAsia="Times New Roman" w:hAnsi="Arial Narrow" w:cs="Calibri"/>
                <w:color w:val="000000"/>
                <w:sz w:val="18"/>
                <w:szCs w:val="18"/>
              </w:rPr>
              <w:t xml:space="preserve"> </w:t>
            </w:r>
            <w:r w:rsidRPr="00B278DD">
              <w:rPr>
                <w:rFonts w:ascii="Arial Narrow" w:eastAsia="Times New Roman" w:hAnsi="Arial Narrow" w:cs="Calibri"/>
                <w:color w:val="000000"/>
                <w:sz w:val="18"/>
                <w:szCs w:val="18"/>
              </w:rPr>
              <w:t>the Government." "Contracting Officer" means "Lockheed Martin.</w:t>
            </w:r>
            <w:r>
              <w:rPr>
                <w:rFonts w:ascii="Arial Narrow" w:eastAsia="Times New Roman" w:hAnsi="Arial Narrow" w:cs="Calibri"/>
                <w:color w:val="000000"/>
                <w:sz w:val="18"/>
                <w:szCs w:val="18"/>
              </w:rPr>
              <w:t xml:space="preserve"> </w:t>
            </w:r>
            <w:r w:rsidRPr="00B278DD">
              <w:rPr>
                <w:rFonts w:ascii="Arial Narrow" w:eastAsia="Times New Roman" w:hAnsi="Arial Narrow" w:cs="Calibri"/>
                <w:color w:val="000000"/>
                <w:sz w:val="18"/>
                <w:szCs w:val="18"/>
              </w:rPr>
              <w:t>"The last sentence in paragraph (b) is changed to read as follows: The</w:t>
            </w:r>
            <w:r>
              <w:rPr>
                <w:rFonts w:ascii="Arial Narrow" w:eastAsia="Times New Roman" w:hAnsi="Arial Narrow" w:cs="Calibri"/>
                <w:color w:val="000000"/>
                <w:sz w:val="18"/>
                <w:szCs w:val="18"/>
              </w:rPr>
              <w:t xml:space="preserve"> </w:t>
            </w:r>
            <w:r w:rsidRPr="00B278DD">
              <w:rPr>
                <w:rFonts w:ascii="Arial Narrow" w:eastAsia="Times New Roman" w:hAnsi="Arial Narrow" w:cs="Calibri"/>
                <w:color w:val="000000"/>
                <w:sz w:val="18"/>
                <w:szCs w:val="18"/>
              </w:rPr>
              <w:t>warranty period shall extend for three years after completion of delivery of the data to Lockheed</w:t>
            </w:r>
            <w:r>
              <w:rPr>
                <w:rFonts w:ascii="Arial Narrow" w:eastAsia="Times New Roman" w:hAnsi="Arial Narrow" w:cs="Calibri"/>
                <w:color w:val="000000"/>
                <w:sz w:val="18"/>
                <w:szCs w:val="18"/>
              </w:rPr>
              <w:t xml:space="preserve"> </w:t>
            </w:r>
            <w:r w:rsidRPr="00B278DD">
              <w:rPr>
                <w:rFonts w:ascii="Arial Narrow" w:eastAsia="Times New Roman" w:hAnsi="Arial Narrow" w:cs="Calibri"/>
                <w:color w:val="000000"/>
                <w:sz w:val="18"/>
                <w:szCs w:val="18"/>
              </w:rPr>
              <w:t>Martin, or if the data is delivered to the Government, either by Lockheed</w:t>
            </w:r>
            <w:r>
              <w:rPr>
                <w:rFonts w:ascii="Arial Narrow" w:eastAsia="Times New Roman" w:hAnsi="Arial Narrow" w:cs="Calibri"/>
                <w:color w:val="000000"/>
                <w:sz w:val="18"/>
                <w:szCs w:val="18"/>
              </w:rPr>
              <w:t xml:space="preserve"> </w:t>
            </w:r>
            <w:r w:rsidRPr="00B278DD">
              <w:rPr>
                <w:rFonts w:ascii="Arial Narrow" w:eastAsia="Times New Roman" w:hAnsi="Arial Narrow" w:cs="Calibri"/>
                <w:color w:val="000000"/>
                <w:sz w:val="18"/>
                <w:szCs w:val="18"/>
              </w:rPr>
              <w:t>Martin or Seller, the warranty period shall extend for three years after</w:t>
            </w:r>
            <w:r>
              <w:rPr>
                <w:rFonts w:ascii="Arial Narrow" w:eastAsia="Times New Roman" w:hAnsi="Arial Narrow" w:cs="Calibri"/>
                <w:color w:val="000000"/>
                <w:sz w:val="18"/>
                <w:szCs w:val="18"/>
              </w:rPr>
              <w:t xml:space="preserve"> </w:t>
            </w:r>
            <w:r w:rsidRPr="00B278DD">
              <w:rPr>
                <w:rFonts w:ascii="Arial Narrow" w:eastAsia="Times New Roman" w:hAnsi="Arial Narrow" w:cs="Calibri"/>
                <w:color w:val="000000"/>
                <w:sz w:val="18"/>
                <w:szCs w:val="18"/>
              </w:rPr>
              <w:t>delivery to the Government."</w:t>
            </w:r>
          </w:p>
        </w:tc>
      </w:tr>
      <w:tr w:rsidR="00B278DD" w:rsidRPr="00B278DD" w14:paraId="53EA6BC9" w14:textId="77777777" w:rsidTr="00B278DD">
        <w:trPr>
          <w:trHeight w:val="3602"/>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5E6441D9"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DFARS</w:t>
            </w:r>
          </w:p>
        </w:tc>
        <w:tc>
          <w:tcPr>
            <w:tcW w:w="799" w:type="dxa"/>
            <w:tcBorders>
              <w:top w:val="nil"/>
              <w:left w:val="nil"/>
              <w:bottom w:val="single" w:sz="4" w:space="0" w:color="auto"/>
              <w:right w:val="single" w:sz="4" w:space="0" w:color="auto"/>
            </w:tcBorders>
            <w:shd w:val="clear" w:color="000000" w:fill="D5DCE4"/>
            <w:noWrap/>
            <w:vAlign w:val="center"/>
            <w:hideMark/>
          </w:tcPr>
          <w:p w14:paraId="473EF993"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252.228-7001 </w:t>
            </w:r>
          </w:p>
        </w:tc>
        <w:tc>
          <w:tcPr>
            <w:tcW w:w="2619" w:type="dxa"/>
            <w:tcBorders>
              <w:top w:val="nil"/>
              <w:left w:val="nil"/>
              <w:bottom w:val="single" w:sz="4" w:space="0" w:color="auto"/>
              <w:right w:val="single" w:sz="4" w:space="0" w:color="auto"/>
            </w:tcBorders>
            <w:shd w:val="clear" w:color="000000" w:fill="D5DCE4"/>
            <w:noWrap/>
            <w:vAlign w:val="center"/>
            <w:hideMark/>
          </w:tcPr>
          <w:p w14:paraId="55F94AC7"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Ground and Flight Risk.</w:t>
            </w:r>
          </w:p>
        </w:tc>
        <w:tc>
          <w:tcPr>
            <w:tcW w:w="810" w:type="dxa"/>
            <w:tcBorders>
              <w:top w:val="nil"/>
              <w:left w:val="nil"/>
              <w:bottom w:val="single" w:sz="4" w:space="0" w:color="auto"/>
              <w:right w:val="single" w:sz="4" w:space="0" w:color="auto"/>
            </w:tcBorders>
            <w:shd w:val="clear" w:color="auto" w:fill="auto"/>
            <w:noWrap/>
            <w:vAlign w:val="center"/>
            <w:hideMark/>
          </w:tcPr>
          <w:p w14:paraId="57B68DFB"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Mar-23</w:t>
            </w:r>
          </w:p>
        </w:tc>
        <w:tc>
          <w:tcPr>
            <w:tcW w:w="4680" w:type="dxa"/>
            <w:tcBorders>
              <w:top w:val="nil"/>
              <w:left w:val="nil"/>
              <w:bottom w:val="single" w:sz="4" w:space="0" w:color="auto"/>
              <w:right w:val="single" w:sz="4" w:space="0" w:color="auto"/>
            </w:tcBorders>
            <w:shd w:val="clear" w:color="auto" w:fill="auto"/>
            <w:vAlign w:val="center"/>
            <w:hideMark/>
          </w:tcPr>
          <w:p w14:paraId="1171C049"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The following is added at the beginning of the clause: "Communications between Seller and the Government shall be made through Lockheed Martin. Any equitable adjustment provided for this clause shall be implemented in this contract to the extent such adjustment is implemented in the prime contract." In paragraph (a) references to "contract" or “contract Schedule” in the definitions for “aircraft”, “covered aircraft” and “flight” means "the prime contract." Paragraph (f) is inapplicable in subcontracts for commercial products or commercial services. Any provisions within this clause relating to assumption of risk by the Government are not applicable to Seller unless this contract includes language stating the Government has agreed to assume such risk of loss. Clause does not apply in subcontracts with Federal Aviation Administration (FAA) part 145 repair stations performing work pursuant to their FAA license.</w:t>
            </w:r>
          </w:p>
        </w:tc>
      </w:tr>
      <w:tr w:rsidR="00B278DD" w:rsidRPr="00B278DD" w14:paraId="76DF0C35"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6335F1DB"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lastRenderedPageBreak/>
              <w:t>DFARS</w:t>
            </w:r>
          </w:p>
        </w:tc>
        <w:tc>
          <w:tcPr>
            <w:tcW w:w="799" w:type="dxa"/>
            <w:tcBorders>
              <w:top w:val="nil"/>
              <w:left w:val="nil"/>
              <w:bottom w:val="single" w:sz="4" w:space="0" w:color="auto"/>
              <w:right w:val="single" w:sz="4" w:space="0" w:color="auto"/>
            </w:tcBorders>
            <w:shd w:val="clear" w:color="000000" w:fill="D5DCE4"/>
            <w:noWrap/>
            <w:vAlign w:val="center"/>
            <w:hideMark/>
          </w:tcPr>
          <w:p w14:paraId="278C57B8"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252.239-7001 </w:t>
            </w:r>
          </w:p>
        </w:tc>
        <w:tc>
          <w:tcPr>
            <w:tcW w:w="2619" w:type="dxa"/>
            <w:tcBorders>
              <w:top w:val="nil"/>
              <w:left w:val="nil"/>
              <w:bottom w:val="single" w:sz="4" w:space="0" w:color="auto"/>
              <w:right w:val="single" w:sz="4" w:space="0" w:color="auto"/>
            </w:tcBorders>
            <w:shd w:val="clear" w:color="000000" w:fill="D5DCE4"/>
            <w:noWrap/>
            <w:vAlign w:val="center"/>
            <w:hideMark/>
          </w:tcPr>
          <w:p w14:paraId="4E0DFCAB"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Information Assurance Contractor Training and Certification.</w:t>
            </w:r>
          </w:p>
        </w:tc>
        <w:tc>
          <w:tcPr>
            <w:tcW w:w="810" w:type="dxa"/>
            <w:tcBorders>
              <w:top w:val="nil"/>
              <w:left w:val="nil"/>
              <w:bottom w:val="single" w:sz="4" w:space="0" w:color="auto"/>
              <w:right w:val="single" w:sz="4" w:space="0" w:color="auto"/>
            </w:tcBorders>
            <w:shd w:val="clear" w:color="auto" w:fill="auto"/>
            <w:noWrap/>
            <w:vAlign w:val="center"/>
            <w:hideMark/>
          </w:tcPr>
          <w:p w14:paraId="09A30943"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Jan-08</w:t>
            </w:r>
          </w:p>
        </w:tc>
        <w:tc>
          <w:tcPr>
            <w:tcW w:w="4680" w:type="dxa"/>
            <w:tcBorders>
              <w:top w:val="nil"/>
              <w:left w:val="nil"/>
              <w:bottom w:val="single" w:sz="4" w:space="0" w:color="auto"/>
              <w:right w:val="single" w:sz="4" w:space="0" w:color="auto"/>
            </w:tcBorders>
            <w:shd w:val="clear" w:color="auto" w:fill="auto"/>
            <w:vAlign w:val="center"/>
            <w:hideMark/>
          </w:tcPr>
          <w:p w14:paraId="4EA6FA59"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None.</w:t>
            </w:r>
          </w:p>
        </w:tc>
      </w:tr>
      <w:tr w:rsidR="00B278DD" w:rsidRPr="00B278DD" w14:paraId="1A890B8A"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65E45253"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FAR</w:t>
            </w:r>
          </w:p>
        </w:tc>
        <w:tc>
          <w:tcPr>
            <w:tcW w:w="799" w:type="dxa"/>
            <w:tcBorders>
              <w:top w:val="nil"/>
              <w:left w:val="nil"/>
              <w:bottom w:val="single" w:sz="4" w:space="0" w:color="auto"/>
              <w:right w:val="single" w:sz="4" w:space="0" w:color="auto"/>
            </w:tcBorders>
            <w:shd w:val="clear" w:color="000000" w:fill="D5DCE4"/>
            <w:noWrap/>
            <w:vAlign w:val="center"/>
            <w:hideMark/>
          </w:tcPr>
          <w:p w14:paraId="03372AC6"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52.223-16 </w:t>
            </w:r>
          </w:p>
        </w:tc>
        <w:tc>
          <w:tcPr>
            <w:tcW w:w="2619" w:type="dxa"/>
            <w:tcBorders>
              <w:top w:val="nil"/>
              <w:left w:val="nil"/>
              <w:bottom w:val="single" w:sz="4" w:space="0" w:color="auto"/>
              <w:right w:val="single" w:sz="4" w:space="0" w:color="auto"/>
            </w:tcBorders>
            <w:shd w:val="clear" w:color="000000" w:fill="D5DCE4"/>
            <w:noWrap/>
            <w:vAlign w:val="center"/>
            <w:hideMark/>
          </w:tcPr>
          <w:p w14:paraId="7670A1A1"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Acquisition of </w:t>
            </w:r>
            <w:proofErr w:type="gramStart"/>
            <w:r w:rsidRPr="00B278DD">
              <w:rPr>
                <w:rFonts w:ascii="Arial Narrow" w:eastAsia="Times New Roman" w:hAnsi="Arial Narrow" w:cs="Calibri"/>
                <w:color w:val="000000"/>
                <w:sz w:val="18"/>
                <w:szCs w:val="18"/>
              </w:rPr>
              <w:t>EPEAT(</w:t>
            </w:r>
            <w:proofErr w:type="gramEnd"/>
            <w:r w:rsidRPr="00B278DD">
              <w:rPr>
                <w:rFonts w:ascii="Arial Narrow" w:eastAsia="Times New Roman" w:hAnsi="Arial Narrow" w:cs="Calibri"/>
                <w:color w:val="000000"/>
                <w:sz w:val="18"/>
                <w:szCs w:val="18"/>
              </w:rPr>
              <w:t>tm)-Registered Personal Computer Products.</w:t>
            </w:r>
          </w:p>
        </w:tc>
        <w:tc>
          <w:tcPr>
            <w:tcW w:w="810" w:type="dxa"/>
            <w:tcBorders>
              <w:top w:val="nil"/>
              <w:left w:val="nil"/>
              <w:bottom w:val="single" w:sz="4" w:space="0" w:color="auto"/>
              <w:right w:val="single" w:sz="4" w:space="0" w:color="auto"/>
            </w:tcBorders>
            <w:shd w:val="clear" w:color="auto" w:fill="auto"/>
            <w:noWrap/>
            <w:vAlign w:val="center"/>
            <w:hideMark/>
          </w:tcPr>
          <w:p w14:paraId="59F58411"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Oct-15</w:t>
            </w:r>
          </w:p>
        </w:tc>
        <w:tc>
          <w:tcPr>
            <w:tcW w:w="4680" w:type="dxa"/>
            <w:tcBorders>
              <w:top w:val="nil"/>
              <w:left w:val="nil"/>
              <w:bottom w:val="single" w:sz="4" w:space="0" w:color="auto"/>
              <w:right w:val="single" w:sz="4" w:space="0" w:color="auto"/>
            </w:tcBorders>
            <w:shd w:val="clear" w:color="auto" w:fill="auto"/>
            <w:vAlign w:val="center"/>
            <w:hideMark/>
          </w:tcPr>
          <w:p w14:paraId="3AD86435"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N/A.</w:t>
            </w:r>
          </w:p>
        </w:tc>
      </w:tr>
      <w:tr w:rsidR="00B278DD" w:rsidRPr="00B278DD" w14:paraId="77CAA946"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168C6F26"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DFARS</w:t>
            </w:r>
          </w:p>
        </w:tc>
        <w:tc>
          <w:tcPr>
            <w:tcW w:w="799" w:type="dxa"/>
            <w:tcBorders>
              <w:top w:val="nil"/>
              <w:left w:val="nil"/>
              <w:bottom w:val="single" w:sz="4" w:space="0" w:color="auto"/>
              <w:right w:val="single" w:sz="4" w:space="0" w:color="auto"/>
            </w:tcBorders>
            <w:shd w:val="clear" w:color="000000" w:fill="D5DCE4"/>
            <w:noWrap/>
            <w:vAlign w:val="center"/>
            <w:hideMark/>
          </w:tcPr>
          <w:p w14:paraId="2490B942"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252.227-7020 </w:t>
            </w:r>
          </w:p>
        </w:tc>
        <w:tc>
          <w:tcPr>
            <w:tcW w:w="2619" w:type="dxa"/>
            <w:tcBorders>
              <w:top w:val="nil"/>
              <w:left w:val="nil"/>
              <w:bottom w:val="single" w:sz="4" w:space="0" w:color="auto"/>
              <w:right w:val="single" w:sz="4" w:space="0" w:color="auto"/>
            </w:tcBorders>
            <w:shd w:val="clear" w:color="000000" w:fill="D5DCE4"/>
            <w:noWrap/>
            <w:vAlign w:val="center"/>
            <w:hideMark/>
          </w:tcPr>
          <w:p w14:paraId="5F1FD225"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Rights in Special Works.</w:t>
            </w:r>
          </w:p>
        </w:tc>
        <w:tc>
          <w:tcPr>
            <w:tcW w:w="810" w:type="dxa"/>
            <w:tcBorders>
              <w:top w:val="nil"/>
              <w:left w:val="nil"/>
              <w:bottom w:val="single" w:sz="4" w:space="0" w:color="auto"/>
              <w:right w:val="single" w:sz="4" w:space="0" w:color="auto"/>
            </w:tcBorders>
            <w:shd w:val="clear" w:color="auto" w:fill="auto"/>
            <w:noWrap/>
            <w:vAlign w:val="center"/>
            <w:hideMark/>
          </w:tcPr>
          <w:p w14:paraId="62CDC5FB"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Jun-95</w:t>
            </w:r>
          </w:p>
        </w:tc>
        <w:tc>
          <w:tcPr>
            <w:tcW w:w="4680" w:type="dxa"/>
            <w:tcBorders>
              <w:top w:val="nil"/>
              <w:left w:val="nil"/>
              <w:bottom w:val="single" w:sz="4" w:space="0" w:color="auto"/>
              <w:right w:val="single" w:sz="4" w:space="0" w:color="auto"/>
            </w:tcBorders>
            <w:shd w:val="clear" w:color="auto" w:fill="auto"/>
            <w:vAlign w:val="center"/>
            <w:hideMark/>
          </w:tcPr>
          <w:p w14:paraId="0B3127A5"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N/A.</w:t>
            </w:r>
          </w:p>
        </w:tc>
      </w:tr>
      <w:tr w:rsidR="00B278DD" w:rsidRPr="00B278DD" w14:paraId="21EA74C4" w14:textId="77777777" w:rsidTr="00B278DD">
        <w:trPr>
          <w:trHeight w:val="283"/>
        </w:trPr>
        <w:tc>
          <w:tcPr>
            <w:tcW w:w="717" w:type="dxa"/>
            <w:tcBorders>
              <w:top w:val="nil"/>
              <w:left w:val="single" w:sz="4" w:space="0" w:color="auto"/>
              <w:bottom w:val="single" w:sz="4" w:space="0" w:color="auto"/>
              <w:right w:val="single" w:sz="4" w:space="0" w:color="auto"/>
            </w:tcBorders>
            <w:shd w:val="clear" w:color="000000" w:fill="D5DCE4"/>
            <w:noWrap/>
            <w:vAlign w:val="center"/>
            <w:hideMark/>
          </w:tcPr>
          <w:p w14:paraId="34CCD572"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DFARS</w:t>
            </w:r>
          </w:p>
        </w:tc>
        <w:tc>
          <w:tcPr>
            <w:tcW w:w="799" w:type="dxa"/>
            <w:tcBorders>
              <w:top w:val="nil"/>
              <w:left w:val="nil"/>
              <w:bottom w:val="single" w:sz="4" w:space="0" w:color="auto"/>
              <w:right w:val="single" w:sz="4" w:space="0" w:color="auto"/>
            </w:tcBorders>
            <w:shd w:val="clear" w:color="000000" w:fill="D5DCE4"/>
            <w:noWrap/>
            <w:vAlign w:val="center"/>
            <w:hideMark/>
          </w:tcPr>
          <w:p w14:paraId="3125495C"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 xml:space="preserve">252.227-7000 </w:t>
            </w:r>
          </w:p>
        </w:tc>
        <w:tc>
          <w:tcPr>
            <w:tcW w:w="2619" w:type="dxa"/>
            <w:tcBorders>
              <w:top w:val="nil"/>
              <w:left w:val="nil"/>
              <w:bottom w:val="single" w:sz="4" w:space="0" w:color="auto"/>
              <w:right w:val="single" w:sz="4" w:space="0" w:color="auto"/>
            </w:tcBorders>
            <w:shd w:val="clear" w:color="000000" w:fill="D5DCE4"/>
            <w:noWrap/>
            <w:vAlign w:val="center"/>
            <w:hideMark/>
          </w:tcPr>
          <w:p w14:paraId="7E7C2B2E"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Non-Estoppel.</w:t>
            </w:r>
          </w:p>
        </w:tc>
        <w:tc>
          <w:tcPr>
            <w:tcW w:w="810" w:type="dxa"/>
            <w:tcBorders>
              <w:top w:val="nil"/>
              <w:left w:val="nil"/>
              <w:bottom w:val="single" w:sz="4" w:space="0" w:color="auto"/>
              <w:right w:val="single" w:sz="4" w:space="0" w:color="auto"/>
            </w:tcBorders>
            <w:shd w:val="clear" w:color="auto" w:fill="auto"/>
            <w:noWrap/>
            <w:vAlign w:val="center"/>
            <w:hideMark/>
          </w:tcPr>
          <w:p w14:paraId="7C917EF7" w14:textId="77777777" w:rsidR="00B278DD" w:rsidRPr="00B278DD" w:rsidRDefault="00B278DD" w:rsidP="00B278DD">
            <w:pPr>
              <w:spacing w:after="0" w:line="240" w:lineRule="auto"/>
              <w:jc w:val="right"/>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Oct-66</w:t>
            </w:r>
          </w:p>
        </w:tc>
        <w:tc>
          <w:tcPr>
            <w:tcW w:w="4680" w:type="dxa"/>
            <w:tcBorders>
              <w:top w:val="nil"/>
              <w:left w:val="nil"/>
              <w:bottom w:val="single" w:sz="4" w:space="0" w:color="auto"/>
              <w:right w:val="single" w:sz="4" w:space="0" w:color="auto"/>
            </w:tcBorders>
            <w:shd w:val="clear" w:color="auto" w:fill="auto"/>
            <w:vAlign w:val="center"/>
            <w:hideMark/>
          </w:tcPr>
          <w:p w14:paraId="74C0C24A" w14:textId="77777777" w:rsidR="00B278DD" w:rsidRPr="00B278DD" w:rsidRDefault="00B278DD" w:rsidP="00B278DD">
            <w:pPr>
              <w:spacing w:after="0" w:line="240" w:lineRule="auto"/>
              <w:rPr>
                <w:rFonts w:ascii="Arial Narrow" w:eastAsia="Times New Roman" w:hAnsi="Arial Narrow" w:cs="Calibri"/>
                <w:color w:val="000000"/>
                <w:sz w:val="18"/>
                <w:szCs w:val="18"/>
              </w:rPr>
            </w:pPr>
            <w:r w:rsidRPr="00B278DD">
              <w:rPr>
                <w:rFonts w:ascii="Arial Narrow" w:eastAsia="Times New Roman" w:hAnsi="Arial Narrow" w:cs="Calibri"/>
                <w:color w:val="000000"/>
                <w:sz w:val="18"/>
                <w:szCs w:val="18"/>
              </w:rPr>
              <w:t>N/A.</w:t>
            </w:r>
          </w:p>
        </w:tc>
      </w:tr>
    </w:tbl>
    <w:p w14:paraId="531ED5A9" w14:textId="77777777" w:rsidR="003D0352" w:rsidRPr="0099147E" w:rsidRDefault="003D0352"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51CC" w14:textId="77777777" w:rsidR="003C6A50" w:rsidRDefault="003C6A50" w:rsidP="006B2C64">
      <w:pPr>
        <w:spacing w:after="0" w:line="240" w:lineRule="auto"/>
      </w:pPr>
      <w:r>
        <w:separator/>
      </w:r>
    </w:p>
  </w:endnote>
  <w:endnote w:type="continuationSeparator" w:id="0">
    <w:p w14:paraId="13251CAC" w14:textId="77777777" w:rsidR="003C6A50" w:rsidRDefault="003C6A50"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1D0B4" w14:textId="77777777" w:rsidR="003C6A50" w:rsidRDefault="003C6A50" w:rsidP="006B2C64">
      <w:pPr>
        <w:spacing w:after="0" w:line="240" w:lineRule="auto"/>
      </w:pPr>
      <w:r>
        <w:separator/>
      </w:r>
    </w:p>
  </w:footnote>
  <w:footnote w:type="continuationSeparator" w:id="0">
    <w:p w14:paraId="6591C144" w14:textId="77777777" w:rsidR="003C6A50" w:rsidRDefault="003C6A50"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20F4" w14:textId="77777777" w:rsidR="00517F9F" w:rsidRDefault="00952FBC" w:rsidP="006B2C64">
    <w:pPr>
      <w:pStyle w:val="Header"/>
      <w:jc w:val="center"/>
    </w:pPr>
    <w:r w:rsidRPr="007701CB">
      <w:t>STAMP</w:t>
    </w:r>
    <w:r w:rsidR="007701CB" w:rsidRPr="007701CB">
      <w:t xml:space="preserve"> </w:t>
    </w:r>
    <w:r w:rsidR="007701CB">
      <w:t xml:space="preserve">2.0 Phase 2 </w:t>
    </w:r>
    <w:proofErr w:type="spellStart"/>
    <w:r w:rsidR="007701CB" w:rsidRPr="007701CB">
      <w:t>Flowdowns</w:t>
    </w:r>
    <w:proofErr w:type="spellEnd"/>
    <w:r w:rsidRPr="00952FBC">
      <w:t xml:space="preserve"> </w:t>
    </w:r>
  </w:p>
  <w:p w14:paraId="378B5049" w14:textId="708BBC80" w:rsidR="0099147E" w:rsidRPr="005C588E" w:rsidRDefault="00517F9F" w:rsidP="006B2C64">
    <w:pPr>
      <w:pStyle w:val="Header"/>
      <w:jc w:val="center"/>
    </w:pPr>
    <w:r w:rsidRPr="005C588E">
      <w:t xml:space="preserve">FA8075-18-D-0004, </w:t>
    </w:r>
    <w:r w:rsidR="00952FBC" w:rsidRPr="005C588E">
      <w:t xml:space="preserve">A34990, DO: P213627 </w:t>
    </w:r>
    <w:r w:rsidR="00437785" w:rsidRPr="005C588E">
      <w:t xml:space="preserve">Rev </w:t>
    </w:r>
    <w:r w:rsidR="003D0352" w:rsidRPr="005C588E">
      <w:t>-</w:t>
    </w:r>
  </w:p>
  <w:p w14:paraId="763A02EE" w14:textId="115BD113" w:rsidR="00437785" w:rsidRPr="00517F9F" w:rsidRDefault="00952FBC" w:rsidP="006B2C64">
    <w:pPr>
      <w:pStyle w:val="Header"/>
      <w:jc w:val="center"/>
      <w:rPr>
        <w:lang w:val="pl-PL"/>
      </w:rPr>
    </w:pPr>
    <w:r w:rsidRPr="00517F9F">
      <w:rPr>
        <w:lang w:val="pl-PL"/>
      </w:rPr>
      <w:t>03</w:t>
    </w:r>
    <w:r w:rsidR="00437785" w:rsidRPr="00517F9F">
      <w:rPr>
        <w:lang w:val="pl-PL"/>
      </w:rPr>
      <w:t>/</w:t>
    </w:r>
    <w:r w:rsidRPr="00517F9F">
      <w:rPr>
        <w:lang w:val="pl-PL"/>
      </w:rPr>
      <w:t>09</w:t>
    </w:r>
    <w:r w:rsidR="00437785" w:rsidRPr="00517F9F">
      <w:rPr>
        <w:lang w:val="pl-PL"/>
      </w:rPr>
      <w:t>/</w:t>
    </w:r>
    <w:r w:rsidR="00A63E10" w:rsidRPr="00517F9F">
      <w:rPr>
        <w:lang w:val="pl-PL"/>
      </w:rPr>
      <w:t>202</w:t>
    </w:r>
    <w:r w:rsidRPr="00517F9F">
      <w:rPr>
        <w:lang w:val="pl-P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01489"/>
    <w:rsid w:val="000114DD"/>
    <w:rsid w:val="0001774F"/>
    <w:rsid w:val="000350B4"/>
    <w:rsid w:val="00072D33"/>
    <w:rsid w:val="001269AE"/>
    <w:rsid w:val="00195748"/>
    <w:rsid w:val="001A575E"/>
    <w:rsid w:val="001A6E1B"/>
    <w:rsid w:val="001C76FD"/>
    <w:rsid w:val="001E50C6"/>
    <w:rsid w:val="00223CD6"/>
    <w:rsid w:val="002D0175"/>
    <w:rsid w:val="003130CC"/>
    <w:rsid w:val="00390D8E"/>
    <w:rsid w:val="003C6A50"/>
    <w:rsid w:val="003D0352"/>
    <w:rsid w:val="00402A24"/>
    <w:rsid w:val="00410CDD"/>
    <w:rsid w:val="00437785"/>
    <w:rsid w:val="00476EDC"/>
    <w:rsid w:val="0051639F"/>
    <w:rsid w:val="00517F9F"/>
    <w:rsid w:val="00534F05"/>
    <w:rsid w:val="00586BF7"/>
    <w:rsid w:val="005C588E"/>
    <w:rsid w:val="00604FEE"/>
    <w:rsid w:val="00622ADA"/>
    <w:rsid w:val="0062754C"/>
    <w:rsid w:val="00666D8F"/>
    <w:rsid w:val="006B2C64"/>
    <w:rsid w:val="006C2B3E"/>
    <w:rsid w:val="00706F5E"/>
    <w:rsid w:val="00740EE9"/>
    <w:rsid w:val="007701CB"/>
    <w:rsid w:val="00793130"/>
    <w:rsid w:val="007B689E"/>
    <w:rsid w:val="007F7C59"/>
    <w:rsid w:val="0082171D"/>
    <w:rsid w:val="00844DF3"/>
    <w:rsid w:val="008972AF"/>
    <w:rsid w:val="008A1587"/>
    <w:rsid w:val="008A797C"/>
    <w:rsid w:val="00912CF7"/>
    <w:rsid w:val="00952FBC"/>
    <w:rsid w:val="0099147E"/>
    <w:rsid w:val="009A7979"/>
    <w:rsid w:val="009D6EA3"/>
    <w:rsid w:val="009E43F1"/>
    <w:rsid w:val="00A63E10"/>
    <w:rsid w:val="00AC6AB1"/>
    <w:rsid w:val="00AF6A4A"/>
    <w:rsid w:val="00B17BC6"/>
    <w:rsid w:val="00B278DD"/>
    <w:rsid w:val="00B41C6E"/>
    <w:rsid w:val="00B4750E"/>
    <w:rsid w:val="00BB3D92"/>
    <w:rsid w:val="00BD2853"/>
    <w:rsid w:val="00C216E7"/>
    <w:rsid w:val="00C82C72"/>
    <w:rsid w:val="00CA2CFC"/>
    <w:rsid w:val="00CB0D70"/>
    <w:rsid w:val="00CF29EE"/>
    <w:rsid w:val="00DD7BCA"/>
    <w:rsid w:val="00DF32AA"/>
    <w:rsid w:val="00E032AB"/>
    <w:rsid w:val="00E339BA"/>
    <w:rsid w:val="00E830AF"/>
    <w:rsid w:val="00EA3370"/>
    <w:rsid w:val="00F02089"/>
    <w:rsid w:val="00F020FD"/>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6803">
      <w:bodyDiv w:val="1"/>
      <w:marLeft w:val="0"/>
      <w:marRight w:val="0"/>
      <w:marTop w:val="0"/>
      <w:marBottom w:val="0"/>
      <w:divBdr>
        <w:top w:val="none" w:sz="0" w:space="0" w:color="auto"/>
        <w:left w:val="none" w:sz="0" w:space="0" w:color="auto"/>
        <w:bottom w:val="none" w:sz="0" w:space="0" w:color="auto"/>
        <w:right w:val="none" w:sz="0" w:space="0" w:color="auto"/>
      </w:divBdr>
    </w:div>
    <w:div w:id="46495231">
      <w:bodyDiv w:val="1"/>
      <w:marLeft w:val="0"/>
      <w:marRight w:val="0"/>
      <w:marTop w:val="0"/>
      <w:marBottom w:val="0"/>
      <w:divBdr>
        <w:top w:val="none" w:sz="0" w:space="0" w:color="auto"/>
        <w:left w:val="none" w:sz="0" w:space="0" w:color="auto"/>
        <w:bottom w:val="none" w:sz="0" w:space="0" w:color="auto"/>
        <w:right w:val="none" w:sz="0" w:space="0" w:color="auto"/>
      </w:divBdr>
    </w:div>
    <w:div w:id="138232922">
      <w:bodyDiv w:val="1"/>
      <w:marLeft w:val="0"/>
      <w:marRight w:val="0"/>
      <w:marTop w:val="0"/>
      <w:marBottom w:val="0"/>
      <w:divBdr>
        <w:top w:val="none" w:sz="0" w:space="0" w:color="auto"/>
        <w:left w:val="none" w:sz="0" w:space="0" w:color="auto"/>
        <w:bottom w:val="none" w:sz="0" w:space="0" w:color="auto"/>
        <w:right w:val="none" w:sz="0" w:space="0" w:color="auto"/>
      </w:divBdr>
    </w:div>
    <w:div w:id="160900286">
      <w:bodyDiv w:val="1"/>
      <w:marLeft w:val="0"/>
      <w:marRight w:val="0"/>
      <w:marTop w:val="0"/>
      <w:marBottom w:val="0"/>
      <w:divBdr>
        <w:top w:val="none" w:sz="0" w:space="0" w:color="auto"/>
        <w:left w:val="none" w:sz="0" w:space="0" w:color="auto"/>
        <w:bottom w:val="none" w:sz="0" w:space="0" w:color="auto"/>
        <w:right w:val="none" w:sz="0" w:space="0" w:color="auto"/>
      </w:divBdr>
    </w:div>
    <w:div w:id="276176649">
      <w:bodyDiv w:val="1"/>
      <w:marLeft w:val="0"/>
      <w:marRight w:val="0"/>
      <w:marTop w:val="0"/>
      <w:marBottom w:val="0"/>
      <w:divBdr>
        <w:top w:val="none" w:sz="0" w:space="0" w:color="auto"/>
        <w:left w:val="none" w:sz="0" w:space="0" w:color="auto"/>
        <w:bottom w:val="none" w:sz="0" w:space="0" w:color="auto"/>
        <w:right w:val="none" w:sz="0" w:space="0" w:color="auto"/>
      </w:divBdr>
    </w:div>
    <w:div w:id="315569324">
      <w:bodyDiv w:val="1"/>
      <w:marLeft w:val="0"/>
      <w:marRight w:val="0"/>
      <w:marTop w:val="0"/>
      <w:marBottom w:val="0"/>
      <w:divBdr>
        <w:top w:val="none" w:sz="0" w:space="0" w:color="auto"/>
        <w:left w:val="none" w:sz="0" w:space="0" w:color="auto"/>
        <w:bottom w:val="none" w:sz="0" w:space="0" w:color="auto"/>
        <w:right w:val="none" w:sz="0" w:space="0" w:color="auto"/>
      </w:divBdr>
    </w:div>
    <w:div w:id="551504812">
      <w:bodyDiv w:val="1"/>
      <w:marLeft w:val="0"/>
      <w:marRight w:val="0"/>
      <w:marTop w:val="0"/>
      <w:marBottom w:val="0"/>
      <w:divBdr>
        <w:top w:val="none" w:sz="0" w:space="0" w:color="auto"/>
        <w:left w:val="none" w:sz="0" w:space="0" w:color="auto"/>
        <w:bottom w:val="none" w:sz="0" w:space="0" w:color="auto"/>
        <w:right w:val="none" w:sz="0" w:space="0" w:color="auto"/>
      </w:divBdr>
    </w:div>
    <w:div w:id="635306197">
      <w:bodyDiv w:val="1"/>
      <w:marLeft w:val="0"/>
      <w:marRight w:val="0"/>
      <w:marTop w:val="0"/>
      <w:marBottom w:val="0"/>
      <w:divBdr>
        <w:top w:val="none" w:sz="0" w:space="0" w:color="auto"/>
        <w:left w:val="none" w:sz="0" w:space="0" w:color="auto"/>
        <w:bottom w:val="none" w:sz="0" w:space="0" w:color="auto"/>
        <w:right w:val="none" w:sz="0" w:space="0" w:color="auto"/>
      </w:divBdr>
    </w:div>
    <w:div w:id="760218971">
      <w:bodyDiv w:val="1"/>
      <w:marLeft w:val="0"/>
      <w:marRight w:val="0"/>
      <w:marTop w:val="0"/>
      <w:marBottom w:val="0"/>
      <w:divBdr>
        <w:top w:val="none" w:sz="0" w:space="0" w:color="auto"/>
        <w:left w:val="none" w:sz="0" w:space="0" w:color="auto"/>
        <w:bottom w:val="none" w:sz="0" w:space="0" w:color="auto"/>
        <w:right w:val="none" w:sz="0" w:space="0" w:color="auto"/>
      </w:divBdr>
    </w:div>
    <w:div w:id="822430137">
      <w:bodyDiv w:val="1"/>
      <w:marLeft w:val="0"/>
      <w:marRight w:val="0"/>
      <w:marTop w:val="0"/>
      <w:marBottom w:val="0"/>
      <w:divBdr>
        <w:top w:val="none" w:sz="0" w:space="0" w:color="auto"/>
        <w:left w:val="none" w:sz="0" w:space="0" w:color="auto"/>
        <w:bottom w:val="none" w:sz="0" w:space="0" w:color="auto"/>
        <w:right w:val="none" w:sz="0" w:space="0" w:color="auto"/>
      </w:divBdr>
    </w:div>
    <w:div w:id="859778069">
      <w:bodyDiv w:val="1"/>
      <w:marLeft w:val="0"/>
      <w:marRight w:val="0"/>
      <w:marTop w:val="0"/>
      <w:marBottom w:val="0"/>
      <w:divBdr>
        <w:top w:val="none" w:sz="0" w:space="0" w:color="auto"/>
        <w:left w:val="none" w:sz="0" w:space="0" w:color="auto"/>
        <w:bottom w:val="none" w:sz="0" w:space="0" w:color="auto"/>
        <w:right w:val="none" w:sz="0" w:space="0" w:color="auto"/>
      </w:divBdr>
    </w:div>
    <w:div w:id="869801096">
      <w:bodyDiv w:val="1"/>
      <w:marLeft w:val="0"/>
      <w:marRight w:val="0"/>
      <w:marTop w:val="0"/>
      <w:marBottom w:val="0"/>
      <w:divBdr>
        <w:top w:val="none" w:sz="0" w:space="0" w:color="auto"/>
        <w:left w:val="none" w:sz="0" w:space="0" w:color="auto"/>
        <w:bottom w:val="none" w:sz="0" w:space="0" w:color="auto"/>
        <w:right w:val="none" w:sz="0" w:space="0" w:color="auto"/>
      </w:divBdr>
    </w:div>
    <w:div w:id="882517929">
      <w:bodyDiv w:val="1"/>
      <w:marLeft w:val="0"/>
      <w:marRight w:val="0"/>
      <w:marTop w:val="0"/>
      <w:marBottom w:val="0"/>
      <w:divBdr>
        <w:top w:val="none" w:sz="0" w:space="0" w:color="auto"/>
        <w:left w:val="none" w:sz="0" w:space="0" w:color="auto"/>
        <w:bottom w:val="none" w:sz="0" w:space="0" w:color="auto"/>
        <w:right w:val="none" w:sz="0" w:space="0" w:color="auto"/>
      </w:divBdr>
    </w:div>
    <w:div w:id="884872899">
      <w:bodyDiv w:val="1"/>
      <w:marLeft w:val="0"/>
      <w:marRight w:val="0"/>
      <w:marTop w:val="0"/>
      <w:marBottom w:val="0"/>
      <w:divBdr>
        <w:top w:val="none" w:sz="0" w:space="0" w:color="auto"/>
        <w:left w:val="none" w:sz="0" w:space="0" w:color="auto"/>
        <w:bottom w:val="none" w:sz="0" w:space="0" w:color="auto"/>
        <w:right w:val="none" w:sz="0" w:space="0" w:color="auto"/>
      </w:divBdr>
    </w:div>
    <w:div w:id="921337373">
      <w:bodyDiv w:val="1"/>
      <w:marLeft w:val="0"/>
      <w:marRight w:val="0"/>
      <w:marTop w:val="0"/>
      <w:marBottom w:val="0"/>
      <w:divBdr>
        <w:top w:val="none" w:sz="0" w:space="0" w:color="auto"/>
        <w:left w:val="none" w:sz="0" w:space="0" w:color="auto"/>
        <w:bottom w:val="none" w:sz="0" w:space="0" w:color="auto"/>
        <w:right w:val="none" w:sz="0" w:space="0" w:color="auto"/>
      </w:divBdr>
    </w:div>
    <w:div w:id="1034773637">
      <w:bodyDiv w:val="1"/>
      <w:marLeft w:val="0"/>
      <w:marRight w:val="0"/>
      <w:marTop w:val="0"/>
      <w:marBottom w:val="0"/>
      <w:divBdr>
        <w:top w:val="none" w:sz="0" w:space="0" w:color="auto"/>
        <w:left w:val="none" w:sz="0" w:space="0" w:color="auto"/>
        <w:bottom w:val="none" w:sz="0" w:space="0" w:color="auto"/>
        <w:right w:val="none" w:sz="0" w:space="0" w:color="auto"/>
      </w:divBdr>
    </w:div>
    <w:div w:id="1050424566">
      <w:bodyDiv w:val="1"/>
      <w:marLeft w:val="0"/>
      <w:marRight w:val="0"/>
      <w:marTop w:val="0"/>
      <w:marBottom w:val="0"/>
      <w:divBdr>
        <w:top w:val="none" w:sz="0" w:space="0" w:color="auto"/>
        <w:left w:val="none" w:sz="0" w:space="0" w:color="auto"/>
        <w:bottom w:val="none" w:sz="0" w:space="0" w:color="auto"/>
        <w:right w:val="none" w:sz="0" w:space="0" w:color="auto"/>
      </w:divBdr>
    </w:div>
    <w:div w:id="1161194683">
      <w:bodyDiv w:val="1"/>
      <w:marLeft w:val="0"/>
      <w:marRight w:val="0"/>
      <w:marTop w:val="0"/>
      <w:marBottom w:val="0"/>
      <w:divBdr>
        <w:top w:val="none" w:sz="0" w:space="0" w:color="auto"/>
        <w:left w:val="none" w:sz="0" w:space="0" w:color="auto"/>
        <w:bottom w:val="none" w:sz="0" w:space="0" w:color="auto"/>
        <w:right w:val="none" w:sz="0" w:space="0" w:color="auto"/>
      </w:divBdr>
    </w:div>
    <w:div w:id="1187795670">
      <w:bodyDiv w:val="1"/>
      <w:marLeft w:val="0"/>
      <w:marRight w:val="0"/>
      <w:marTop w:val="0"/>
      <w:marBottom w:val="0"/>
      <w:divBdr>
        <w:top w:val="none" w:sz="0" w:space="0" w:color="auto"/>
        <w:left w:val="none" w:sz="0" w:space="0" w:color="auto"/>
        <w:bottom w:val="none" w:sz="0" w:space="0" w:color="auto"/>
        <w:right w:val="none" w:sz="0" w:space="0" w:color="auto"/>
      </w:divBdr>
    </w:div>
    <w:div w:id="1270546661">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20962321">
      <w:bodyDiv w:val="1"/>
      <w:marLeft w:val="0"/>
      <w:marRight w:val="0"/>
      <w:marTop w:val="0"/>
      <w:marBottom w:val="0"/>
      <w:divBdr>
        <w:top w:val="none" w:sz="0" w:space="0" w:color="auto"/>
        <w:left w:val="none" w:sz="0" w:space="0" w:color="auto"/>
        <w:bottom w:val="none" w:sz="0" w:space="0" w:color="auto"/>
        <w:right w:val="none" w:sz="0" w:space="0" w:color="auto"/>
      </w:divBdr>
    </w:div>
    <w:div w:id="1325012831">
      <w:bodyDiv w:val="1"/>
      <w:marLeft w:val="0"/>
      <w:marRight w:val="0"/>
      <w:marTop w:val="0"/>
      <w:marBottom w:val="0"/>
      <w:divBdr>
        <w:top w:val="none" w:sz="0" w:space="0" w:color="auto"/>
        <w:left w:val="none" w:sz="0" w:space="0" w:color="auto"/>
        <w:bottom w:val="none" w:sz="0" w:space="0" w:color="auto"/>
        <w:right w:val="none" w:sz="0" w:space="0" w:color="auto"/>
      </w:divBdr>
    </w:div>
    <w:div w:id="1374232249">
      <w:bodyDiv w:val="1"/>
      <w:marLeft w:val="0"/>
      <w:marRight w:val="0"/>
      <w:marTop w:val="0"/>
      <w:marBottom w:val="0"/>
      <w:divBdr>
        <w:top w:val="none" w:sz="0" w:space="0" w:color="auto"/>
        <w:left w:val="none" w:sz="0" w:space="0" w:color="auto"/>
        <w:bottom w:val="none" w:sz="0" w:space="0" w:color="auto"/>
        <w:right w:val="none" w:sz="0" w:space="0" w:color="auto"/>
      </w:divBdr>
    </w:div>
    <w:div w:id="1405685195">
      <w:bodyDiv w:val="1"/>
      <w:marLeft w:val="0"/>
      <w:marRight w:val="0"/>
      <w:marTop w:val="0"/>
      <w:marBottom w:val="0"/>
      <w:divBdr>
        <w:top w:val="none" w:sz="0" w:space="0" w:color="auto"/>
        <w:left w:val="none" w:sz="0" w:space="0" w:color="auto"/>
        <w:bottom w:val="none" w:sz="0" w:space="0" w:color="auto"/>
        <w:right w:val="none" w:sz="0" w:space="0" w:color="auto"/>
      </w:divBdr>
    </w:div>
    <w:div w:id="1615598085">
      <w:bodyDiv w:val="1"/>
      <w:marLeft w:val="0"/>
      <w:marRight w:val="0"/>
      <w:marTop w:val="0"/>
      <w:marBottom w:val="0"/>
      <w:divBdr>
        <w:top w:val="none" w:sz="0" w:space="0" w:color="auto"/>
        <w:left w:val="none" w:sz="0" w:space="0" w:color="auto"/>
        <w:bottom w:val="none" w:sz="0" w:space="0" w:color="auto"/>
        <w:right w:val="none" w:sz="0" w:space="0" w:color="auto"/>
      </w:divBdr>
    </w:div>
    <w:div w:id="1638146445">
      <w:bodyDiv w:val="1"/>
      <w:marLeft w:val="0"/>
      <w:marRight w:val="0"/>
      <w:marTop w:val="0"/>
      <w:marBottom w:val="0"/>
      <w:divBdr>
        <w:top w:val="none" w:sz="0" w:space="0" w:color="auto"/>
        <w:left w:val="none" w:sz="0" w:space="0" w:color="auto"/>
        <w:bottom w:val="none" w:sz="0" w:space="0" w:color="auto"/>
        <w:right w:val="none" w:sz="0" w:space="0" w:color="auto"/>
      </w:divBdr>
    </w:div>
    <w:div w:id="1690175348">
      <w:bodyDiv w:val="1"/>
      <w:marLeft w:val="0"/>
      <w:marRight w:val="0"/>
      <w:marTop w:val="0"/>
      <w:marBottom w:val="0"/>
      <w:divBdr>
        <w:top w:val="none" w:sz="0" w:space="0" w:color="auto"/>
        <w:left w:val="none" w:sz="0" w:space="0" w:color="auto"/>
        <w:bottom w:val="none" w:sz="0" w:space="0" w:color="auto"/>
        <w:right w:val="none" w:sz="0" w:space="0" w:color="auto"/>
      </w:divBdr>
    </w:div>
    <w:div w:id="1789275149">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968463572">
      <w:bodyDiv w:val="1"/>
      <w:marLeft w:val="0"/>
      <w:marRight w:val="0"/>
      <w:marTop w:val="0"/>
      <w:marBottom w:val="0"/>
      <w:divBdr>
        <w:top w:val="none" w:sz="0" w:space="0" w:color="auto"/>
        <w:left w:val="none" w:sz="0" w:space="0" w:color="auto"/>
        <w:bottom w:val="none" w:sz="0" w:space="0" w:color="auto"/>
        <w:right w:val="none" w:sz="0" w:space="0" w:color="auto"/>
      </w:divBdr>
    </w:div>
    <w:div w:id="1997102421">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2025-04-15T19:38:00Z</dcterms:created>
  <dcterms:modified xsi:type="dcterms:W3CDTF">2025-04-15T19:38:00Z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