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6352CE">
      <w:pPr>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57D1D28F" w:rsidR="00390D8E" w:rsidRPr="00B91E56" w:rsidRDefault="00390D8E" w:rsidP="00390D8E">
      <w:pPr>
        <w:spacing w:line="240" w:lineRule="auto"/>
      </w:pPr>
      <w:r>
        <w:t>8. "Subcontract" means any contract placed by SELLER or lower-tier subcontractors under this Contract.</w:t>
      </w:r>
    </w:p>
    <w:p w14:paraId="74A6D0FC" w14:textId="3D46687C" w:rsidR="00390D8E" w:rsidRDefault="006352CE" w:rsidP="00390D8E">
      <w:pPr>
        <w:spacing w:before="100" w:beforeAutospacing="1" w:line="240" w:lineRule="auto"/>
        <w:jc w:val="both"/>
        <w:outlineLvl w:val="1"/>
        <w:rPr>
          <w:b/>
        </w:rPr>
      </w:pPr>
      <w:r>
        <w:rPr>
          <w:b/>
        </w:rPr>
        <w:t>C</w:t>
      </w:r>
      <w:r w:rsidR="00390D8E">
        <w:rPr>
          <w:b/>
        </w:rPr>
        <w:t xml:space="preserve">. </w:t>
      </w:r>
      <w:r w:rsidR="00390D8E" w:rsidRPr="00504389">
        <w:rPr>
          <w:b/>
        </w:rPr>
        <w:t>PROVISIONS OF FAR</w:t>
      </w:r>
      <w:r w:rsidR="00390D8E">
        <w:rPr>
          <w:b/>
        </w:rPr>
        <w:t>/</w:t>
      </w:r>
      <w:r w:rsidR="00390D8E" w:rsidRPr="006A63C1">
        <w:rPr>
          <w:b/>
        </w:rPr>
        <w:t xml:space="preserve">DFARS </w:t>
      </w:r>
      <w:r w:rsidR="00390D8E" w:rsidRPr="00504389">
        <w:rPr>
          <w:b/>
        </w:rPr>
        <w:t>INCORPORATED BY REFERENCE</w:t>
      </w:r>
    </w:p>
    <w:p w14:paraId="3EAC4FEE" w14:textId="77777777" w:rsidR="00390D8E" w:rsidRPr="006352CE" w:rsidRDefault="00390D8E" w:rsidP="006352CE">
      <w:pPr>
        <w:spacing w:line="240" w:lineRule="auto"/>
      </w:pPr>
      <w:r w:rsidRPr="006352CE">
        <w:t>The FAR/DFARS clauses listed herein are applicable to this Contract if required under the pertinent law or regulation.  If the applicability condition(s) in the relevant law or regulation is(are) not met, or LOCKHEED MARTIN does not require information or data from SELLER to satisfy its obligations, the clause is not applicable to this Contract.  The applicability statements, statutory references, and regulatory references set forth in the parentheticals, if any, after each clause below are for convenience only.</w:t>
      </w:r>
    </w:p>
    <w:tbl>
      <w:tblPr>
        <w:tblStyle w:val="TableGrid"/>
        <w:tblW w:w="0" w:type="auto"/>
        <w:tblLook w:val="04A0" w:firstRow="1" w:lastRow="0" w:firstColumn="1" w:lastColumn="0" w:noHBand="0" w:noVBand="1"/>
      </w:tblPr>
      <w:tblGrid>
        <w:gridCol w:w="804"/>
        <w:gridCol w:w="1530"/>
        <w:gridCol w:w="2873"/>
        <w:gridCol w:w="1167"/>
        <w:gridCol w:w="2976"/>
      </w:tblGrid>
      <w:tr w:rsidR="00390D8E" w:rsidRPr="0099147E" w14:paraId="52E98E86" w14:textId="77777777" w:rsidTr="00636C08">
        <w:trPr>
          <w:trHeight w:val="341"/>
        </w:trPr>
        <w:tc>
          <w:tcPr>
            <w:tcW w:w="804"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873"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167"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2976"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636C08" w:rsidRPr="0099147E" w14:paraId="2AC905EE" w14:textId="77777777" w:rsidTr="007616D8">
        <w:trPr>
          <w:trHeight w:val="520"/>
        </w:trPr>
        <w:tc>
          <w:tcPr>
            <w:tcW w:w="804" w:type="dxa"/>
            <w:shd w:val="clear" w:color="auto" w:fill="D5DCE4" w:themeFill="text2" w:themeFillTint="33"/>
            <w:vAlign w:val="bottom"/>
          </w:tcPr>
          <w:p w14:paraId="027B102F" w14:textId="4987DA45" w:rsidR="00636C08" w:rsidRPr="0099147E" w:rsidRDefault="00636C08" w:rsidP="00636C08">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tcPr>
          <w:p w14:paraId="46288FAD" w14:textId="7BCD6DEB" w:rsidR="00636C08" w:rsidRPr="0099147E" w:rsidRDefault="00636C08" w:rsidP="00636C08">
            <w:pPr>
              <w:rPr>
                <w:rFonts w:ascii="Arial Narrow" w:eastAsia="Times New Roman" w:hAnsi="Arial Narrow" w:cs="Times New Roman"/>
                <w:color w:val="000000"/>
                <w:sz w:val="20"/>
                <w:szCs w:val="20"/>
              </w:rPr>
            </w:pPr>
            <w:r>
              <w:rPr>
                <w:rFonts w:ascii="Calibri" w:hAnsi="Calibri" w:cs="Calibri"/>
                <w:color w:val="000000"/>
              </w:rPr>
              <w:t xml:space="preserve">52.227-1 ALT I </w:t>
            </w:r>
          </w:p>
        </w:tc>
        <w:tc>
          <w:tcPr>
            <w:tcW w:w="2873" w:type="dxa"/>
            <w:shd w:val="clear" w:color="auto" w:fill="D5DCE4" w:themeFill="text2" w:themeFillTint="33"/>
            <w:vAlign w:val="bottom"/>
          </w:tcPr>
          <w:p w14:paraId="1D1CA6F6" w14:textId="67A79EED" w:rsidR="00636C08" w:rsidRPr="0099147E" w:rsidRDefault="00636C08" w:rsidP="00636C08">
            <w:pPr>
              <w:rPr>
                <w:rFonts w:ascii="Arial Narrow" w:eastAsia="Times New Roman" w:hAnsi="Arial Narrow" w:cs="Times New Roman"/>
                <w:color w:val="000000"/>
                <w:sz w:val="20"/>
                <w:szCs w:val="20"/>
              </w:rPr>
            </w:pPr>
            <w:r>
              <w:rPr>
                <w:rFonts w:ascii="Calibri" w:hAnsi="Calibri" w:cs="Calibri"/>
                <w:color w:val="000000"/>
              </w:rPr>
              <w:t>Alternate I - Authorization and Consent.</w:t>
            </w:r>
          </w:p>
        </w:tc>
        <w:tc>
          <w:tcPr>
            <w:tcW w:w="1167" w:type="dxa"/>
            <w:noWrap/>
            <w:vAlign w:val="bottom"/>
          </w:tcPr>
          <w:p w14:paraId="6F3DDDF1" w14:textId="47E467B1" w:rsidR="00636C08" w:rsidRPr="0099147E" w:rsidRDefault="00636C08" w:rsidP="00636C08">
            <w:pPr>
              <w:rPr>
                <w:rFonts w:ascii="Arial Narrow" w:eastAsia="Times New Roman" w:hAnsi="Arial Narrow" w:cs="Times New Roman"/>
                <w:color w:val="000000"/>
                <w:sz w:val="20"/>
                <w:szCs w:val="20"/>
              </w:rPr>
            </w:pPr>
            <w:r>
              <w:rPr>
                <w:rFonts w:ascii="Calibri" w:hAnsi="Calibri" w:cs="Calibri"/>
                <w:color w:val="000000"/>
              </w:rPr>
              <w:t>4/1/1984</w:t>
            </w:r>
          </w:p>
        </w:tc>
        <w:tc>
          <w:tcPr>
            <w:tcW w:w="2976" w:type="dxa"/>
            <w:vAlign w:val="bottom"/>
          </w:tcPr>
          <w:p w14:paraId="337857B2" w14:textId="75413E75" w:rsidR="00636C08" w:rsidRPr="0099147E" w:rsidRDefault="00E44835" w:rsidP="00636C08">
            <w:pPr>
              <w:rPr>
                <w:rFonts w:ascii="Arial Narrow" w:eastAsia="Times New Roman" w:hAnsi="Arial Narrow" w:cs="Times New Roman"/>
                <w:color w:val="000000"/>
                <w:sz w:val="20"/>
                <w:szCs w:val="20"/>
              </w:rPr>
            </w:pPr>
            <w:r>
              <w:rPr>
                <w:rFonts w:ascii="Calibri" w:hAnsi="Calibri" w:cs="Calibri"/>
                <w:color w:val="000000"/>
              </w:rPr>
              <w:t>None.</w:t>
            </w:r>
          </w:p>
        </w:tc>
      </w:tr>
      <w:tr w:rsidR="00636C08" w:rsidRPr="0099147E" w14:paraId="0E2D3549" w14:textId="77777777" w:rsidTr="007616D8">
        <w:trPr>
          <w:trHeight w:val="260"/>
        </w:trPr>
        <w:tc>
          <w:tcPr>
            <w:tcW w:w="804" w:type="dxa"/>
            <w:shd w:val="clear" w:color="auto" w:fill="D5DCE4" w:themeFill="text2" w:themeFillTint="33"/>
            <w:vAlign w:val="bottom"/>
          </w:tcPr>
          <w:p w14:paraId="7CF55320" w14:textId="12FEBCF2" w:rsidR="00636C08" w:rsidRPr="0099147E" w:rsidRDefault="00636C08" w:rsidP="00636C08">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6A82E065" w14:textId="51A34B08" w:rsidR="00636C08" w:rsidRPr="0099147E" w:rsidRDefault="00636C08" w:rsidP="00636C08">
            <w:pPr>
              <w:rPr>
                <w:rFonts w:ascii="Arial Narrow" w:eastAsia="Times New Roman" w:hAnsi="Arial Narrow" w:cs="Times New Roman"/>
                <w:color w:val="000000"/>
                <w:sz w:val="20"/>
                <w:szCs w:val="20"/>
              </w:rPr>
            </w:pPr>
            <w:r>
              <w:rPr>
                <w:rFonts w:ascii="Calibri" w:hAnsi="Calibri" w:cs="Calibri"/>
                <w:color w:val="000000"/>
              </w:rPr>
              <w:t xml:space="preserve">252.243-7002 </w:t>
            </w:r>
          </w:p>
        </w:tc>
        <w:tc>
          <w:tcPr>
            <w:tcW w:w="2873" w:type="dxa"/>
            <w:shd w:val="clear" w:color="auto" w:fill="D5DCE4" w:themeFill="text2" w:themeFillTint="33"/>
            <w:vAlign w:val="bottom"/>
          </w:tcPr>
          <w:p w14:paraId="39E76094" w14:textId="2488CA62" w:rsidR="00636C08" w:rsidRPr="0099147E" w:rsidRDefault="00636C08" w:rsidP="00636C08">
            <w:pPr>
              <w:rPr>
                <w:rFonts w:ascii="Arial Narrow" w:eastAsia="Times New Roman" w:hAnsi="Arial Narrow" w:cs="Times New Roman"/>
                <w:color w:val="000000"/>
                <w:sz w:val="20"/>
                <w:szCs w:val="20"/>
              </w:rPr>
            </w:pPr>
            <w:r>
              <w:rPr>
                <w:rFonts w:ascii="Calibri" w:hAnsi="Calibri" w:cs="Calibri"/>
                <w:color w:val="000000"/>
              </w:rPr>
              <w:t>Requests for Equitable Adjustment.</w:t>
            </w:r>
          </w:p>
        </w:tc>
        <w:tc>
          <w:tcPr>
            <w:tcW w:w="1167" w:type="dxa"/>
            <w:noWrap/>
            <w:vAlign w:val="bottom"/>
          </w:tcPr>
          <w:p w14:paraId="7C70D817" w14:textId="206ABCFB" w:rsidR="00636C08" w:rsidRPr="0099147E" w:rsidRDefault="00636C08" w:rsidP="00636C08">
            <w:pPr>
              <w:rPr>
                <w:rFonts w:ascii="Arial Narrow" w:eastAsia="Times New Roman" w:hAnsi="Arial Narrow" w:cs="Times New Roman"/>
                <w:color w:val="000000"/>
                <w:sz w:val="20"/>
                <w:szCs w:val="20"/>
              </w:rPr>
            </w:pPr>
            <w:r>
              <w:rPr>
                <w:rFonts w:ascii="Calibri" w:hAnsi="Calibri" w:cs="Calibri"/>
                <w:color w:val="000000"/>
              </w:rPr>
              <w:t>12/1/2012</w:t>
            </w:r>
          </w:p>
        </w:tc>
        <w:tc>
          <w:tcPr>
            <w:tcW w:w="2976" w:type="dxa"/>
            <w:vAlign w:val="bottom"/>
          </w:tcPr>
          <w:p w14:paraId="101EF1C1" w14:textId="101B585A" w:rsidR="00636C08" w:rsidRPr="0099147E" w:rsidRDefault="00636C08" w:rsidP="00636C08">
            <w:pPr>
              <w:rPr>
                <w:rFonts w:ascii="Arial Narrow" w:eastAsia="Times New Roman" w:hAnsi="Arial Narrow" w:cs="Times New Roman"/>
                <w:color w:val="000000"/>
                <w:sz w:val="20"/>
                <w:szCs w:val="20"/>
              </w:rPr>
            </w:pPr>
            <w:r>
              <w:rPr>
                <w:rFonts w:ascii="Calibri" w:hAnsi="Calibri" w:cs="Calibri"/>
                <w:color w:val="000000"/>
              </w:rPr>
              <w:t>"Government" means "Lockheed Martin."</w:t>
            </w:r>
          </w:p>
        </w:tc>
      </w:tr>
      <w:bookmarkEnd w:id="0"/>
    </w:tbl>
    <w:p w14:paraId="2C388E27" w14:textId="77777777" w:rsidR="00390D8E" w:rsidRDefault="00390D8E" w:rsidP="006352CE">
      <w:pPr>
        <w:rPr>
          <w:b/>
        </w:rPr>
      </w:pPr>
    </w:p>
    <w:sectPr w:rsidR="00390D8E" w:rsidSect="0074406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DEAD" w14:textId="77777777" w:rsidR="00593278" w:rsidRDefault="00593278" w:rsidP="006B2C64">
      <w:pPr>
        <w:spacing w:after="0" w:line="240" w:lineRule="auto"/>
      </w:pPr>
      <w:r>
        <w:separator/>
      </w:r>
    </w:p>
  </w:endnote>
  <w:endnote w:type="continuationSeparator" w:id="0">
    <w:p w14:paraId="6EA1E0DD" w14:textId="77777777" w:rsidR="00593278" w:rsidRDefault="00593278"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34E1" w14:textId="77777777" w:rsidR="00593278" w:rsidRDefault="00593278" w:rsidP="006B2C64">
      <w:pPr>
        <w:spacing w:after="0" w:line="240" w:lineRule="auto"/>
      </w:pPr>
      <w:r>
        <w:separator/>
      </w:r>
    </w:p>
  </w:footnote>
  <w:footnote w:type="continuationSeparator" w:id="0">
    <w:p w14:paraId="3C6388D4" w14:textId="77777777" w:rsidR="00593278" w:rsidRDefault="00593278"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98A0" w14:textId="77341EFE" w:rsidR="004527E4" w:rsidRDefault="004527E4" w:rsidP="004527E4">
    <w:pPr>
      <w:pStyle w:val="Header"/>
      <w:jc w:val="center"/>
    </w:pPr>
    <w:r>
      <w:t xml:space="preserve">Prime Contact </w:t>
    </w:r>
    <w:r w:rsidRPr="00F968BB">
      <w:t>N00014-22-C-1042</w:t>
    </w:r>
    <w:r>
      <w:t xml:space="preserve"> LM PO </w:t>
    </w:r>
    <w:r w:rsidRPr="002430B8">
      <w:t>LMRMS0002</w:t>
    </w:r>
  </w:p>
  <w:p w14:paraId="378B5049" w14:textId="7713B90D" w:rsidR="0099147E" w:rsidRDefault="002430B8" w:rsidP="006B2C64">
    <w:pPr>
      <w:pStyle w:val="Header"/>
      <w:jc w:val="center"/>
    </w:pPr>
    <w:r>
      <w:t xml:space="preserve">AEGIS Baseline 7 Upgrade (7Up) Follow </w:t>
    </w:r>
    <w:proofErr w:type="gramStart"/>
    <w:r>
      <w:t>On</w:t>
    </w:r>
    <w:proofErr w:type="gramEnd"/>
    <w:r>
      <w:t xml:space="preserve"> Program Flow Downs</w:t>
    </w:r>
  </w:p>
  <w:p w14:paraId="763A02EE" w14:textId="5B3BC0E4" w:rsidR="00437785" w:rsidRDefault="002430B8" w:rsidP="006B2C64">
    <w:pPr>
      <w:pStyle w:val="Header"/>
      <w:jc w:val="center"/>
    </w:pPr>
    <w:r>
      <w:t xml:space="preserve">Rev 0, dated </w:t>
    </w:r>
    <w:proofErr w:type="gramStart"/>
    <w:r>
      <w:t>11/1</w:t>
    </w:r>
    <w:r w:rsidR="002A11AC">
      <w:t>9</w:t>
    </w:r>
    <w:r>
      <w:t>/2024</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A575E"/>
    <w:rsid w:val="001A6E1B"/>
    <w:rsid w:val="002430B8"/>
    <w:rsid w:val="002A11AC"/>
    <w:rsid w:val="002D0175"/>
    <w:rsid w:val="003130CC"/>
    <w:rsid w:val="00390D8E"/>
    <w:rsid w:val="00402A24"/>
    <w:rsid w:val="00410CDD"/>
    <w:rsid w:val="00437785"/>
    <w:rsid w:val="004527E4"/>
    <w:rsid w:val="00475E03"/>
    <w:rsid w:val="0051639F"/>
    <w:rsid w:val="00534F05"/>
    <w:rsid w:val="00586BF7"/>
    <w:rsid w:val="00593278"/>
    <w:rsid w:val="00604FEE"/>
    <w:rsid w:val="006352CE"/>
    <w:rsid w:val="00636C08"/>
    <w:rsid w:val="00666D8F"/>
    <w:rsid w:val="006B2C64"/>
    <w:rsid w:val="006C2B3E"/>
    <w:rsid w:val="00740EE9"/>
    <w:rsid w:val="00744069"/>
    <w:rsid w:val="00793130"/>
    <w:rsid w:val="007B689E"/>
    <w:rsid w:val="007F7C59"/>
    <w:rsid w:val="008A1587"/>
    <w:rsid w:val="00912CF7"/>
    <w:rsid w:val="0099147E"/>
    <w:rsid w:val="009A7979"/>
    <w:rsid w:val="009D6EA3"/>
    <w:rsid w:val="009E43F1"/>
    <w:rsid w:val="00AC6AB1"/>
    <w:rsid w:val="00AF6A4A"/>
    <w:rsid w:val="00B17BC6"/>
    <w:rsid w:val="00B41C6E"/>
    <w:rsid w:val="00B4750E"/>
    <w:rsid w:val="00BB3D92"/>
    <w:rsid w:val="00BD2853"/>
    <w:rsid w:val="00C82C72"/>
    <w:rsid w:val="00CA2CFC"/>
    <w:rsid w:val="00CB0D70"/>
    <w:rsid w:val="00DF32AA"/>
    <w:rsid w:val="00E032AB"/>
    <w:rsid w:val="00E17508"/>
    <w:rsid w:val="00E339BA"/>
    <w:rsid w:val="00E44835"/>
    <w:rsid w:val="00E830AF"/>
    <w:rsid w:val="00EA3370"/>
    <w:rsid w:val="00F02089"/>
    <w:rsid w:val="00F302AF"/>
    <w:rsid w:val="00F92AAD"/>
    <w:rsid w:val="00F968BB"/>
    <w:rsid w:val="00FB13E2"/>
    <w:rsid w:val="00FB1F5A"/>
    <w:rsid w:val="00FF7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2025-01-20T17:31:00Z</dcterms:created>
  <dcterms:modified xsi:type="dcterms:W3CDTF">2025-01-20T17:31:00Z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