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CB26" w14:textId="77777777" w:rsidR="00793130" w:rsidRDefault="00793130" w:rsidP="00740EE9">
      <w:pPr>
        <w:spacing w:after="0" w:line="240" w:lineRule="auto"/>
        <w:jc w:val="center"/>
        <w:rPr>
          <w:rFonts w:ascii="Calibri" w:eastAsia="Times New Roman" w:hAnsi="Calibri" w:cs="Calibri"/>
          <w:color w:val="000000"/>
          <w:sz w:val="24"/>
          <w:szCs w:val="24"/>
        </w:rPr>
      </w:pPr>
    </w:p>
    <w:p w14:paraId="10B24B4F" w14:textId="77777777" w:rsidR="00390D8E" w:rsidRPr="00504389" w:rsidRDefault="00390D8E" w:rsidP="00390D8E">
      <w:pPr>
        <w:spacing w:line="240" w:lineRule="auto"/>
        <w:rPr>
          <w:b/>
        </w:rPr>
      </w:pPr>
      <w:bookmarkStart w:id="0" w:name="_Hlk530035946"/>
      <w:r w:rsidRPr="00504389">
        <w:rPr>
          <w:b/>
        </w:rPr>
        <w:t>A. INCORPORATION OF</w:t>
      </w:r>
      <w:r>
        <w:rPr>
          <w:b/>
        </w:rPr>
        <w:t xml:space="preserve"> THE</w:t>
      </w:r>
      <w:r w:rsidRPr="00504389">
        <w:rPr>
          <w:b/>
        </w:rPr>
        <w:t xml:space="preserve"> </w:t>
      </w:r>
      <w:r w:rsidRPr="004E1B7E">
        <w:rPr>
          <w:b/>
        </w:rPr>
        <w:t>FEDERAL ACQUISITION REGULATION (FAR) AND THE DEPARTMENT OF DEFENSE FEDERAL ACQUISITION REGULATION SUPPLEMENT (DFARS)</w:t>
      </w:r>
    </w:p>
    <w:p w14:paraId="22FFC0B6" w14:textId="77777777" w:rsidR="00390D8E" w:rsidRDefault="00390D8E" w:rsidP="00390D8E">
      <w:pPr>
        <w:spacing w:line="240" w:lineRule="auto"/>
      </w:pPr>
      <w:r>
        <w:t>The FAR and DFARS clauses referenced below are incorporated herein by reference, with the same force and effect as if they were given in full text, and are applicable, including any notes following the clause citation, to this Contract. If the date or substance of any of the clauses listed below is different from the date or substance of the clause actually incorporated in the Prime Contract referenced by number herein, the date or substance of the clause incorporated by said Prime Contract shall apply instead. The Contracts Disputes Act shall have no application to this Contract, and nothing in this Contract grants SELLER a direct claim or cause of action against the U.S. Government. Any reference to a "Disputes" clause shall mean the "Disputes" clause of this Contract. SELLER shall include in each lower-tier subcontract the appropriate flow down clauses as required by the FAR and FAR Supplement clauses included in this Contract.</w:t>
      </w:r>
    </w:p>
    <w:p w14:paraId="4890C3A2" w14:textId="77777777" w:rsidR="00390D8E" w:rsidRPr="00504389" w:rsidRDefault="00390D8E" w:rsidP="00390D8E">
      <w:pPr>
        <w:spacing w:line="240" w:lineRule="auto"/>
        <w:rPr>
          <w:b/>
        </w:rPr>
      </w:pPr>
      <w:r w:rsidRPr="00504389">
        <w:rPr>
          <w:b/>
        </w:rPr>
        <w:t>B. GOVERNMENT SUBCONTRACT</w:t>
      </w:r>
    </w:p>
    <w:p w14:paraId="74ADFC8F" w14:textId="77777777" w:rsidR="00390D8E" w:rsidRDefault="00390D8E" w:rsidP="00390D8E">
      <w:pPr>
        <w:spacing w:after="0" w:line="240" w:lineRule="auto"/>
      </w:pPr>
      <w:r>
        <w:t>(a) This Contract is entered into by the parties in support of a U.S. Government contract.</w:t>
      </w:r>
    </w:p>
    <w:p w14:paraId="51BEEA91" w14:textId="77777777" w:rsidR="00390D8E" w:rsidRDefault="00390D8E" w:rsidP="00390D8E">
      <w:pPr>
        <w:spacing w:after="0" w:line="240" w:lineRule="auto"/>
      </w:pPr>
      <w:r>
        <w:t>(b) As used in the FAR and DFARS clauses referenced below and otherwise in this Contract:</w:t>
      </w:r>
    </w:p>
    <w:p w14:paraId="243996D1" w14:textId="77777777" w:rsidR="00390D8E" w:rsidRDefault="00390D8E" w:rsidP="00390D8E">
      <w:pPr>
        <w:spacing w:after="0" w:line="240" w:lineRule="auto"/>
      </w:pPr>
      <w:r>
        <w:t>1. "Commercial product" means any such product as defined in FAR 2.101.</w:t>
      </w:r>
    </w:p>
    <w:p w14:paraId="505B971B" w14:textId="77777777" w:rsidR="00390D8E" w:rsidRDefault="00390D8E" w:rsidP="00390D8E">
      <w:pPr>
        <w:spacing w:after="0" w:line="240" w:lineRule="auto"/>
      </w:pPr>
      <w:r>
        <w:t>2. "Commercial service" means any such service as defined in FAR 2.101.</w:t>
      </w:r>
    </w:p>
    <w:p w14:paraId="64C0D613" w14:textId="77777777" w:rsidR="00390D8E" w:rsidRDefault="00390D8E" w:rsidP="00390D8E">
      <w:pPr>
        <w:spacing w:after="0" w:line="240" w:lineRule="auto"/>
      </w:pPr>
      <w:r>
        <w:t>3. "Commercially available off-the-shelf (COTS) item" means a COTS item as defined in FAR 2.101</w:t>
      </w:r>
    </w:p>
    <w:p w14:paraId="54E18CFD" w14:textId="77777777" w:rsidR="00390D8E" w:rsidRDefault="00390D8E" w:rsidP="00390D8E">
      <w:pPr>
        <w:spacing w:after="0" w:line="240" w:lineRule="auto"/>
      </w:pPr>
      <w:r>
        <w:t>4. "Contract" means this contract.</w:t>
      </w:r>
    </w:p>
    <w:p w14:paraId="6BEAA9F0" w14:textId="77777777" w:rsidR="00390D8E" w:rsidRDefault="00390D8E" w:rsidP="00390D8E">
      <w:pPr>
        <w:keepNext/>
        <w:spacing w:after="0" w:line="240" w:lineRule="auto"/>
      </w:pPr>
      <w:r>
        <w:t>5. "Contracting Officer" shall mean the U.S. Government Contracting Officer for LOCKHEED MARTIN's government prime contract under which this Contract is entered.</w:t>
      </w:r>
    </w:p>
    <w:p w14:paraId="248648D6" w14:textId="77777777" w:rsidR="00390D8E" w:rsidRDefault="00390D8E" w:rsidP="00390D8E">
      <w:pPr>
        <w:spacing w:after="0" w:line="240" w:lineRule="auto"/>
      </w:pPr>
      <w:r>
        <w:t>6. "Contractor" and "Offeror" means the SELLER, which is the party identified on the face of the Contract with whom Lockheed Martin is contracting, acting as the immediate subcontractor to LOCKHEED MARTIN.</w:t>
      </w:r>
    </w:p>
    <w:p w14:paraId="4EA4FBE7" w14:textId="77777777" w:rsidR="00390D8E" w:rsidRDefault="00390D8E" w:rsidP="00390D8E">
      <w:pPr>
        <w:spacing w:after="0" w:line="240" w:lineRule="auto"/>
      </w:pPr>
      <w:r>
        <w:t>7. "Prime Contract" means the contract between LOCKHEED MARTIN and the U.S. Government or between LOCKHEED MARTIN and its higher-tier contractor who has a contract with the U.S. Government.</w:t>
      </w:r>
    </w:p>
    <w:p w14:paraId="2A60B5AB" w14:textId="77777777" w:rsidR="00390D8E" w:rsidRPr="00B91E56" w:rsidRDefault="00390D8E" w:rsidP="00390D8E">
      <w:pPr>
        <w:spacing w:line="240" w:lineRule="auto"/>
      </w:pPr>
      <w:r>
        <w:t>8. "Subcontract" means any contract placed by SELLER or lower-tier subcontractors under this Contract. </w:t>
      </w:r>
    </w:p>
    <w:p w14:paraId="5B263869" w14:textId="77777777" w:rsidR="00390D8E" w:rsidRPr="00B91E56" w:rsidRDefault="00390D8E" w:rsidP="00390D8E">
      <w:pPr>
        <w:spacing w:line="240" w:lineRule="auto"/>
        <w:rPr>
          <w:b/>
        </w:rPr>
      </w:pPr>
      <w:r>
        <w:rPr>
          <w:b/>
        </w:rPr>
        <w:t>C</w:t>
      </w:r>
      <w:r w:rsidRPr="00B91E56">
        <w:rPr>
          <w:b/>
        </w:rPr>
        <w:t>. INDEMNITY</w:t>
      </w:r>
    </w:p>
    <w:p w14:paraId="644F056F" w14:textId="77777777" w:rsidR="00390D8E" w:rsidRPr="00B91E56" w:rsidRDefault="00390D8E" w:rsidP="00390D8E">
      <w:pPr>
        <w:spacing w:line="240" w:lineRule="auto"/>
        <w:rPr>
          <w:bCs/>
        </w:rPr>
      </w:pPr>
      <w:r>
        <w:rPr>
          <w:bCs/>
        </w:rPr>
        <w:t>SELLER</w:t>
      </w:r>
      <w:r w:rsidRPr="00B91E56">
        <w:rPr>
          <w:bCs/>
        </w:rPr>
        <w:t xml:space="preserve"> shall indemnify and hold </w:t>
      </w:r>
      <w:r>
        <w:rPr>
          <w:bCs/>
        </w:rPr>
        <w:t>LOCKHEED MARTIN</w:t>
      </w:r>
      <w:r w:rsidRPr="00B91E56">
        <w:rPr>
          <w:bCs/>
        </w:rPr>
        <w:t xml:space="preserve"> harmless from and against any cost, price reduction, withholding, offset, penalty, interest, claim, demand, determination of unallowability, unallocability or unreasonableness, or any other civil, criminal, or administrative liability, whether arising under statute, regulation, contract or common law, and shall reimburse </w:t>
      </w:r>
      <w:r>
        <w:rPr>
          <w:bCs/>
        </w:rPr>
        <w:t>LOCKHEED MARTIN</w:t>
      </w:r>
      <w:r w:rsidRPr="00B91E56">
        <w:rPr>
          <w:bCs/>
        </w:rPr>
        <w:t xml:space="preserve"> for all of its damages and associated costs, including reasonable attorney fees and other expenses, if said liability is attributable to the </w:t>
      </w:r>
      <w:r>
        <w:rPr>
          <w:bCs/>
        </w:rPr>
        <w:t>SELLER</w:t>
      </w:r>
      <w:r w:rsidRPr="00B91E56">
        <w:rPr>
          <w:bCs/>
        </w:rPr>
        <w:t xml:space="preserve"> or </w:t>
      </w:r>
      <w:r>
        <w:rPr>
          <w:bCs/>
        </w:rPr>
        <w:t>SELLER</w:t>
      </w:r>
      <w:r w:rsidRPr="00B91E56">
        <w:rPr>
          <w:bCs/>
        </w:rPr>
        <w:t xml:space="preserve">’s </w:t>
      </w:r>
      <w:r>
        <w:rPr>
          <w:bCs/>
        </w:rPr>
        <w:t>s</w:t>
      </w:r>
      <w:r w:rsidRPr="00B91E56">
        <w:rPr>
          <w:bCs/>
        </w:rPr>
        <w:t xml:space="preserve">uppliers’ failure to comply with these U.S. Government Provisions and Clauses.  </w:t>
      </w:r>
    </w:p>
    <w:p w14:paraId="2C9BEB83" w14:textId="0AD99EAF" w:rsidR="00390D8E" w:rsidRPr="004E1B7E" w:rsidRDefault="00390D8E" w:rsidP="00390D8E">
      <w:pPr>
        <w:spacing w:line="240" w:lineRule="auto"/>
        <w:rPr>
          <w:rFonts w:eastAsia="Calibri" w:cstheme="minorHAnsi"/>
          <w:bCs/>
        </w:rPr>
      </w:pPr>
      <w:r>
        <w:rPr>
          <w:b/>
        </w:rPr>
        <w:t>D</w:t>
      </w:r>
      <w:r w:rsidRPr="00B91E56">
        <w:rPr>
          <w:b/>
        </w:rPr>
        <w:t xml:space="preserve">. </w:t>
      </w:r>
      <w:r w:rsidR="00BB09B9">
        <w:rPr>
          <w:b/>
        </w:rPr>
        <w:t>RESERVED</w:t>
      </w:r>
    </w:p>
    <w:p w14:paraId="74A6D0FC" w14:textId="77777777" w:rsidR="00390D8E" w:rsidRDefault="00390D8E" w:rsidP="00390D8E">
      <w:pPr>
        <w:spacing w:before="100" w:beforeAutospacing="1" w:line="240" w:lineRule="auto"/>
        <w:jc w:val="both"/>
        <w:outlineLvl w:val="1"/>
        <w:rPr>
          <w:b/>
        </w:rPr>
      </w:pPr>
      <w:r>
        <w:rPr>
          <w:b/>
        </w:rPr>
        <w:t xml:space="preserve">E. </w:t>
      </w:r>
      <w:r w:rsidRPr="00504389">
        <w:rPr>
          <w:b/>
        </w:rPr>
        <w:t>PROVISIONS OF FAR</w:t>
      </w:r>
      <w:r>
        <w:rPr>
          <w:b/>
        </w:rPr>
        <w:t>/</w:t>
      </w:r>
      <w:r w:rsidRPr="006A63C1">
        <w:rPr>
          <w:b/>
        </w:rPr>
        <w:t xml:space="preserve">DFARS </w:t>
      </w:r>
      <w:r w:rsidRPr="00504389">
        <w:rPr>
          <w:b/>
        </w:rPr>
        <w:t>INCORPORATED BY REFERENCE</w:t>
      </w:r>
    </w:p>
    <w:p w14:paraId="3EAC4FEE" w14:textId="77777777" w:rsidR="00390D8E" w:rsidRPr="004E1B7E" w:rsidRDefault="00390D8E" w:rsidP="00390D8E">
      <w:pPr>
        <w:keepNext/>
        <w:spacing w:line="240" w:lineRule="auto"/>
        <w:rPr>
          <w:b/>
        </w:rPr>
      </w:pPr>
      <w:r w:rsidRPr="00960E04">
        <w:rPr>
          <w:rFonts w:eastAsia="Calibri" w:cstheme="minorHAnsi"/>
          <w:bCs/>
        </w:rPr>
        <w:t xml:space="preserve">The </w:t>
      </w:r>
      <w:r>
        <w:rPr>
          <w:rFonts w:eastAsia="Calibri" w:cstheme="minorHAnsi"/>
          <w:bCs/>
        </w:rPr>
        <w:t xml:space="preserve">FAR/DFARS </w:t>
      </w:r>
      <w:r w:rsidRPr="00960E04">
        <w:rPr>
          <w:rFonts w:eastAsia="Calibri" w:cstheme="minorHAnsi"/>
          <w:bCs/>
        </w:rPr>
        <w:t xml:space="preserve">clauses listed herein are applicable to this Contract if required under the pertinent law or regulation.  If the applicability condition(s) in the relevant law or regulation is(are) not met, or </w:t>
      </w:r>
      <w:r>
        <w:rPr>
          <w:rFonts w:eastAsia="Calibri" w:cstheme="minorHAnsi"/>
          <w:bCs/>
        </w:rPr>
        <w:t>LOCKHEED MARTIN</w:t>
      </w:r>
      <w:r w:rsidRPr="00960E04">
        <w:rPr>
          <w:rFonts w:eastAsia="Calibri" w:cstheme="minorHAnsi"/>
          <w:bCs/>
        </w:rPr>
        <w:t xml:space="preserve"> does not require information or data from </w:t>
      </w:r>
      <w:r>
        <w:rPr>
          <w:rFonts w:eastAsia="Calibri" w:cstheme="minorHAnsi"/>
          <w:bCs/>
        </w:rPr>
        <w:t>SELLER</w:t>
      </w:r>
      <w:r w:rsidRPr="00960E04">
        <w:rPr>
          <w:rFonts w:eastAsia="Calibri" w:cstheme="minorHAnsi"/>
          <w:bCs/>
        </w:rPr>
        <w:t xml:space="preserve"> to satisfy its obligations, the </w:t>
      </w:r>
      <w:r w:rsidRPr="00960E04">
        <w:rPr>
          <w:rFonts w:eastAsia="Calibri" w:cstheme="minorHAnsi"/>
          <w:bCs/>
        </w:rPr>
        <w:lastRenderedPageBreak/>
        <w:t>clause is not applicable to this Contract.  The applicability statements, statutory references, and regulatory references set forth in the parentheticals</w:t>
      </w:r>
      <w:r>
        <w:rPr>
          <w:rFonts w:eastAsia="Calibri" w:cstheme="minorHAnsi"/>
          <w:bCs/>
        </w:rPr>
        <w:t>, if any,</w:t>
      </w:r>
      <w:r w:rsidRPr="00960E04">
        <w:rPr>
          <w:rFonts w:eastAsia="Calibri" w:cstheme="minorHAnsi"/>
          <w:bCs/>
        </w:rPr>
        <w:t xml:space="preserve"> after each clause below are for convenience only.</w:t>
      </w:r>
    </w:p>
    <w:p w14:paraId="0C3C3E63" w14:textId="77777777" w:rsidR="00390D8E" w:rsidRDefault="00390D8E" w:rsidP="00390D8E">
      <w:pPr>
        <w:spacing w:after="0" w:line="240" w:lineRule="auto"/>
        <w:rPr>
          <w:rFonts w:ascii="Arial Narrow" w:eastAsia="Times New Roman" w:hAnsi="Arial Narrow" w:cs="Times New Roman"/>
          <w:color w:val="000000"/>
          <w:sz w:val="20"/>
          <w:szCs w:val="20"/>
        </w:rPr>
      </w:pPr>
    </w:p>
    <w:p w14:paraId="643BF48E" w14:textId="77777777" w:rsidR="00390D8E" w:rsidRPr="0099147E" w:rsidRDefault="00390D8E" w:rsidP="00390D8E">
      <w:pPr>
        <w:spacing w:after="0" w:line="240" w:lineRule="auto"/>
        <w:rPr>
          <w:rFonts w:ascii="Arial Narrow" w:eastAsia="Times New Roman" w:hAnsi="Arial Narrow" w:cs="Times New Roman"/>
          <w:color w:val="000000"/>
          <w:sz w:val="20"/>
          <w:szCs w:val="20"/>
        </w:rPr>
      </w:pPr>
    </w:p>
    <w:tbl>
      <w:tblPr>
        <w:tblW w:w="9350" w:type="dxa"/>
        <w:tblLook w:val="04A0" w:firstRow="1" w:lastRow="0" w:firstColumn="1" w:lastColumn="0" w:noHBand="0" w:noVBand="1"/>
      </w:tblPr>
      <w:tblGrid>
        <w:gridCol w:w="1121"/>
        <w:gridCol w:w="1530"/>
        <w:gridCol w:w="2725"/>
        <w:gridCol w:w="1080"/>
        <w:gridCol w:w="2894"/>
      </w:tblGrid>
      <w:tr w:rsidR="002F77E3" w:rsidRPr="002F77E3" w14:paraId="6C2EBA03" w14:textId="1FFDE30A" w:rsidTr="002F77E3">
        <w:trPr>
          <w:trHeight w:val="315"/>
        </w:trPr>
        <w:tc>
          <w:tcPr>
            <w:tcW w:w="1121" w:type="dxa"/>
            <w:tcBorders>
              <w:top w:val="single" w:sz="8" w:space="0" w:color="auto"/>
              <w:left w:val="single" w:sz="8" w:space="0" w:color="auto"/>
              <w:bottom w:val="single" w:sz="8" w:space="0" w:color="auto"/>
              <w:right w:val="single" w:sz="8" w:space="0" w:color="auto"/>
            </w:tcBorders>
            <w:shd w:val="clear" w:color="000000" w:fill="44546A"/>
            <w:vAlign w:val="center"/>
            <w:hideMark/>
          </w:tcPr>
          <w:p w14:paraId="007CC3DC" w14:textId="77777777" w:rsidR="002F77E3" w:rsidRPr="002F77E3" w:rsidRDefault="002F77E3" w:rsidP="002F77E3">
            <w:pPr>
              <w:spacing w:after="0" w:line="240" w:lineRule="auto"/>
              <w:rPr>
                <w:rFonts w:ascii="Arial Narrow" w:eastAsia="Times New Roman" w:hAnsi="Arial Narrow" w:cs="Calibri"/>
                <w:b/>
                <w:bCs/>
                <w:color w:val="FFFFFF"/>
                <w:sz w:val="20"/>
                <w:szCs w:val="20"/>
              </w:rPr>
            </w:pPr>
            <w:r w:rsidRPr="002F77E3">
              <w:rPr>
                <w:rFonts w:ascii="Arial Narrow" w:eastAsia="Times New Roman" w:hAnsi="Arial Narrow" w:cs="Calibri"/>
                <w:b/>
                <w:bCs/>
                <w:color w:val="FFFFFF"/>
                <w:sz w:val="20"/>
                <w:szCs w:val="20"/>
              </w:rPr>
              <w:t>Type</w:t>
            </w:r>
          </w:p>
        </w:tc>
        <w:tc>
          <w:tcPr>
            <w:tcW w:w="1530" w:type="dxa"/>
            <w:tcBorders>
              <w:top w:val="single" w:sz="8" w:space="0" w:color="auto"/>
              <w:left w:val="nil"/>
              <w:bottom w:val="single" w:sz="8" w:space="0" w:color="auto"/>
              <w:right w:val="single" w:sz="8" w:space="0" w:color="auto"/>
            </w:tcBorders>
            <w:shd w:val="clear" w:color="000000" w:fill="44546A"/>
            <w:noWrap/>
            <w:vAlign w:val="center"/>
            <w:hideMark/>
          </w:tcPr>
          <w:p w14:paraId="4D7286D1" w14:textId="77777777" w:rsidR="002F77E3" w:rsidRPr="002F77E3" w:rsidRDefault="002F77E3" w:rsidP="002F77E3">
            <w:pPr>
              <w:spacing w:after="0" w:line="240" w:lineRule="auto"/>
              <w:rPr>
                <w:rFonts w:ascii="Arial Narrow" w:eastAsia="Times New Roman" w:hAnsi="Arial Narrow" w:cs="Calibri"/>
                <w:b/>
                <w:bCs/>
                <w:color w:val="FFFFFF"/>
                <w:sz w:val="20"/>
                <w:szCs w:val="20"/>
              </w:rPr>
            </w:pPr>
            <w:r w:rsidRPr="002F77E3">
              <w:rPr>
                <w:rFonts w:ascii="Arial Narrow" w:eastAsia="Times New Roman" w:hAnsi="Arial Narrow" w:cs="Calibri"/>
                <w:b/>
                <w:bCs/>
                <w:color w:val="FFFFFF"/>
                <w:sz w:val="20"/>
                <w:szCs w:val="20"/>
              </w:rPr>
              <w:t xml:space="preserve">Clause No. </w:t>
            </w:r>
          </w:p>
        </w:tc>
        <w:tc>
          <w:tcPr>
            <w:tcW w:w="2725" w:type="dxa"/>
            <w:tcBorders>
              <w:top w:val="single" w:sz="8" w:space="0" w:color="auto"/>
              <w:left w:val="nil"/>
              <w:bottom w:val="single" w:sz="8" w:space="0" w:color="auto"/>
              <w:right w:val="single" w:sz="8" w:space="0" w:color="auto"/>
            </w:tcBorders>
            <w:shd w:val="clear" w:color="000000" w:fill="44546A"/>
            <w:vAlign w:val="center"/>
            <w:hideMark/>
          </w:tcPr>
          <w:p w14:paraId="3DAAED19" w14:textId="77777777" w:rsidR="002F77E3" w:rsidRPr="002F77E3" w:rsidRDefault="002F77E3" w:rsidP="002F77E3">
            <w:pPr>
              <w:spacing w:after="0" w:line="240" w:lineRule="auto"/>
              <w:rPr>
                <w:rFonts w:ascii="Arial Narrow" w:eastAsia="Times New Roman" w:hAnsi="Arial Narrow" w:cs="Calibri"/>
                <w:b/>
                <w:bCs/>
                <w:color w:val="FFFFFF"/>
                <w:sz w:val="20"/>
                <w:szCs w:val="20"/>
              </w:rPr>
            </w:pPr>
            <w:r w:rsidRPr="002F77E3">
              <w:rPr>
                <w:rFonts w:ascii="Arial Narrow" w:eastAsia="Times New Roman" w:hAnsi="Arial Narrow" w:cs="Calibri"/>
                <w:b/>
                <w:bCs/>
                <w:color w:val="FFFFFF"/>
                <w:sz w:val="20"/>
                <w:szCs w:val="20"/>
              </w:rPr>
              <w:t xml:space="preserve">Title </w:t>
            </w:r>
          </w:p>
        </w:tc>
        <w:tc>
          <w:tcPr>
            <w:tcW w:w="1080" w:type="dxa"/>
            <w:tcBorders>
              <w:top w:val="single" w:sz="8" w:space="0" w:color="auto"/>
              <w:left w:val="nil"/>
              <w:bottom w:val="single" w:sz="8" w:space="0" w:color="auto"/>
              <w:right w:val="single" w:sz="8" w:space="0" w:color="auto"/>
            </w:tcBorders>
            <w:shd w:val="clear" w:color="000000" w:fill="44546A"/>
            <w:noWrap/>
            <w:vAlign w:val="center"/>
            <w:hideMark/>
          </w:tcPr>
          <w:p w14:paraId="6156AFF9" w14:textId="77777777" w:rsidR="002F77E3" w:rsidRPr="002F77E3" w:rsidRDefault="002F77E3" w:rsidP="002F77E3">
            <w:pPr>
              <w:spacing w:after="0" w:line="240" w:lineRule="auto"/>
              <w:rPr>
                <w:rFonts w:ascii="Arial Narrow" w:eastAsia="Times New Roman" w:hAnsi="Arial Narrow" w:cs="Calibri"/>
                <w:b/>
                <w:bCs/>
                <w:color w:val="FFFFFF"/>
                <w:sz w:val="20"/>
                <w:szCs w:val="20"/>
              </w:rPr>
            </w:pPr>
            <w:r w:rsidRPr="002F77E3">
              <w:rPr>
                <w:rFonts w:ascii="Arial Narrow" w:eastAsia="Times New Roman" w:hAnsi="Arial Narrow" w:cs="Calibri"/>
                <w:b/>
                <w:bCs/>
                <w:color w:val="FFFFFF"/>
                <w:sz w:val="20"/>
                <w:szCs w:val="20"/>
              </w:rPr>
              <w:t>Date</w:t>
            </w:r>
          </w:p>
        </w:tc>
        <w:tc>
          <w:tcPr>
            <w:tcW w:w="2894" w:type="dxa"/>
            <w:tcBorders>
              <w:top w:val="single" w:sz="8" w:space="0" w:color="auto"/>
              <w:left w:val="nil"/>
              <w:bottom w:val="single" w:sz="8" w:space="0" w:color="auto"/>
              <w:right w:val="single" w:sz="8" w:space="0" w:color="auto"/>
            </w:tcBorders>
            <w:shd w:val="clear" w:color="000000" w:fill="44546A"/>
          </w:tcPr>
          <w:p w14:paraId="69FBAE3A" w14:textId="1DBE4885" w:rsidR="002F77E3" w:rsidRPr="002F77E3" w:rsidRDefault="002F77E3" w:rsidP="002F77E3">
            <w:pPr>
              <w:spacing w:after="0" w:line="240" w:lineRule="auto"/>
              <w:rPr>
                <w:rFonts w:ascii="Arial Narrow" w:eastAsia="Times New Roman" w:hAnsi="Arial Narrow" w:cs="Calibri"/>
                <w:b/>
                <w:bCs/>
                <w:color w:val="FFFFFF"/>
                <w:sz w:val="20"/>
                <w:szCs w:val="20"/>
              </w:rPr>
            </w:pPr>
            <w:r>
              <w:rPr>
                <w:rFonts w:ascii="Arial Narrow" w:eastAsia="Times New Roman" w:hAnsi="Arial Narrow" w:cs="Calibri"/>
                <w:b/>
                <w:bCs/>
                <w:color w:val="FFFFFF"/>
                <w:sz w:val="20"/>
                <w:szCs w:val="20"/>
              </w:rPr>
              <w:t>Modifications</w:t>
            </w:r>
          </w:p>
        </w:tc>
      </w:tr>
      <w:tr w:rsidR="002F77E3" w:rsidRPr="002F77E3" w14:paraId="4E8E21D7" w14:textId="7757DEBA" w:rsidTr="002F77E3">
        <w:trPr>
          <w:trHeight w:val="780"/>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57A2EFF0"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DFARS</w:t>
            </w:r>
          </w:p>
        </w:tc>
        <w:tc>
          <w:tcPr>
            <w:tcW w:w="1530" w:type="dxa"/>
            <w:tcBorders>
              <w:top w:val="nil"/>
              <w:left w:val="nil"/>
              <w:bottom w:val="single" w:sz="8" w:space="0" w:color="auto"/>
              <w:right w:val="single" w:sz="8" w:space="0" w:color="auto"/>
            </w:tcBorders>
            <w:shd w:val="clear" w:color="000000" w:fill="D5DCE4"/>
            <w:noWrap/>
            <w:vAlign w:val="center"/>
            <w:hideMark/>
          </w:tcPr>
          <w:p w14:paraId="20DBA4EE"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252.204-7008</w:t>
            </w:r>
          </w:p>
        </w:tc>
        <w:tc>
          <w:tcPr>
            <w:tcW w:w="2725" w:type="dxa"/>
            <w:tcBorders>
              <w:top w:val="nil"/>
              <w:left w:val="nil"/>
              <w:bottom w:val="single" w:sz="8" w:space="0" w:color="auto"/>
              <w:right w:val="single" w:sz="8" w:space="0" w:color="auto"/>
            </w:tcBorders>
            <w:shd w:val="clear" w:color="000000" w:fill="D5DCE4"/>
            <w:vAlign w:val="center"/>
            <w:hideMark/>
          </w:tcPr>
          <w:p w14:paraId="2552F0AA"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Compliance with Safeguarding Covered Defense Information Controls.</w:t>
            </w:r>
          </w:p>
        </w:tc>
        <w:tc>
          <w:tcPr>
            <w:tcW w:w="1080" w:type="dxa"/>
            <w:tcBorders>
              <w:top w:val="nil"/>
              <w:left w:val="nil"/>
              <w:bottom w:val="single" w:sz="8" w:space="0" w:color="auto"/>
              <w:right w:val="single" w:sz="8" w:space="0" w:color="auto"/>
            </w:tcBorders>
            <w:shd w:val="clear" w:color="D9D9D9" w:fill="D9D9D9"/>
            <w:noWrap/>
            <w:vAlign w:val="center"/>
            <w:hideMark/>
          </w:tcPr>
          <w:p w14:paraId="79E7780E" w14:textId="06197AD8"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OCT-2016</w:t>
            </w:r>
          </w:p>
        </w:tc>
        <w:tc>
          <w:tcPr>
            <w:tcW w:w="2894" w:type="dxa"/>
            <w:tcBorders>
              <w:top w:val="nil"/>
              <w:left w:val="nil"/>
              <w:bottom w:val="single" w:sz="8" w:space="0" w:color="auto"/>
              <w:right w:val="single" w:sz="8" w:space="0" w:color="auto"/>
            </w:tcBorders>
            <w:shd w:val="clear" w:color="D9D9D9" w:fill="D9D9D9"/>
          </w:tcPr>
          <w:p w14:paraId="010888D9" w14:textId="77777777" w:rsidR="002F77E3" w:rsidRPr="002F77E3" w:rsidRDefault="002F77E3" w:rsidP="002F77E3">
            <w:pPr>
              <w:spacing w:after="0" w:line="240" w:lineRule="auto"/>
              <w:jc w:val="right"/>
              <w:rPr>
                <w:rFonts w:ascii="Arial Narrow" w:eastAsia="Times New Roman" w:hAnsi="Arial Narrow" w:cs="Calibri"/>
                <w:color w:val="000000"/>
                <w:sz w:val="20"/>
                <w:szCs w:val="20"/>
              </w:rPr>
            </w:pPr>
          </w:p>
        </w:tc>
      </w:tr>
      <w:tr w:rsidR="002F77E3" w:rsidRPr="002F77E3" w14:paraId="0EFF42BB" w14:textId="3F76A94D" w:rsidTr="002F77E3">
        <w:trPr>
          <w:trHeight w:val="525"/>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3DB5165D"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DFARS</w:t>
            </w:r>
          </w:p>
        </w:tc>
        <w:tc>
          <w:tcPr>
            <w:tcW w:w="1530" w:type="dxa"/>
            <w:tcBorders>
              <w:top w:val="nil"/>
              <w:left w:val="nil"/>
              <w:bottom w:val="single" w:sz="8" w:space="0" w:color="auto"/>
              <w:right w:val="single" w:sz="8" w:space="0" w:color="auto"/>
            </w:tcBorders>
            <w:shd w:val="clear" w:color="000000" w:fill="D5DCE4"/>
            <w:noWrap/>
            <w:vAlign w:val="center"/>
            <w:hideMark/>
          </w:tcPr>
          <w:p w14:paraId="6727BEC8"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252.217-7026</w:t>
            </w:r>
          </w:p>
        </w:tc>
        <w:tc>
          <w:tcPr>
            <w:tcW w:w="2725" w:type="dxa"/>
            <w:tcBorders>
              <w:top w:val="nil"/>
              <w:left w:val="nil"/>
              <w:bottom w:val="single" w:sz="8" w:space="0" w:color="auto"/>
              <w:right w:val="single" w:sz="8" w:space="0" w:color="auto"/>
            </w:tcBorders>
            <w:shd w:val="clear" w:color="000000" w:fill="D5DCE4"/>
            <w:vAlign w:val="center"/>
            <w:hideMark/>
          </w:tcPr>
          <w:p w14:paraId="7ACEE60E"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Identification of Sources of Supply.</w:t>
            </w:r>
          </w:p>
        </w:tc>
        <w:tc>
          <w:tcPr>
            <w:tcW w:w="1080" w:type="dxa"/>
            <w:tcBorders>
              <w:top w:val="nil"/>
              <w:left w:val="nil"/>
              <w:bottom w:val="single" w:sz="8" w:space="0" w:color="auto"/>
              <w:right w:val="single" w:sz="8" w:space="0" w:color="auto"/>
            </w:tcBorders>
            <w:noWrap/>
            <w:vAlign w:val="center"/>
            <w:hideMark/>
          </w:tcPr>
          <w:p w14:paraId="6E5C9A66" w14:textId="1C6CB5AA"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JAN-2023</w:t>
            </w:r>
          </w:p>
        </w:tc>
        <w:tc>
          <w:tcPr>
            <w:tcW w:w="2894" w:type="dxa"/>
            <w:tcBorders>
              <w:top w:val="nil"/>
              <w:left w:val="nil"/>
              <w:bottom w:val="single" w:sz="8" w:space="0" w:color="auto"/>
              <w:right w:val="single" w:sz="8" w:space="0" w:color="auto"/>
            </w:tcBorders>
          </w:tcPr>
          <w:p w14:paraId="4649B8DA" w14:textId="153996D4" w:rsidR="002F77E3" w:rsidRPr="002F77E3" w:rsidRDefault="005C06CF" w:rsidP="005C06CF">
            <w:pPr>
              <w:spacing w:after="0" w:line="240" w:lineRule="auto"/>
              <w:rPr>
                <w:rFonts w:ascii="Arial Narrow" w:eastAsia="Times New Roman" w:hAnsi="Arial Narrow" w:cs="Calibri"/>
                <w:color w:val="000000"/>
                <w:sz w:val="20"/>
                <w:szCs w:val="20"/>
              </w:rPr>
            </w:pPr>
            <w:r w:rsidRPr="005C06CF">
              <w:rPr>
                <w:rFonts w:ascii="Arial Narrow" w:eastAsia="Times New Roman" w:hAnsi="Arial Narrow" w:cs="Calibri"/>
                <w:color w:val="000000"/>
                <w:sz w:val="20"/>
                <w:szCs w:val="20"/>
              </w:rPr>
              <w:t>The information required by this clause is limited to the identification of those items procured from lower tier sources where Contractor will provide those items as separate end items to Lockheed Martin. Items which are included as components of end items delivered by Contractor to Lockheed Martin do not need to be identified.</w:t>
            </w:r>
          </w:p>
        </w:tc>
      </w:tr>
      <w:tr w:rsidR="002F77E3" w:rsidRPr="002F77E3" w14:paraId="472FBF04" w14:textId="15456C3F" w:rsidTr="002F77E3">
        <w:trPr>
          <w:trHeight w:val="525"/>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71AFB701"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DFARS</w:t>
            </w:r>
          </w:p>
        </w:tc>
        <w:tc>
          <w:tcPr>
            <w:tcW w:w="1530" w:type="dxa"/>
            <w:tcBorders>
              <w:top w:val="nil"/>
              <w:left w:val="nil"/>
              <w:bottom w:val="single" w:sz="8" w:space="0" w:color="auto"/>
              <w:right w:val="single" w:sz="8" w:space="0" w:color="auto"/>
            </w:tcBorders>
            <w:shd w:val="clear" w:color="000000" w:fill="D5DCE4"/>
            <w:noWrap/>
            <w:vAlign w:val="center"/>
            <w:hideMark/>
          </w:tcPr>
          <w:p w14:paraId="7D0C8E9B"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252.225-7027</w:t>
            </w:r>
          </w:p>
        </w:tc>
        <w:tc>
          <w:tcPr>
            <w:tcW w:w="2725" w:type="dxa"/>
            <w:tcBorders>
              <w:top w:val="nil"/>
              <w:left w:val="nil"/>
              <w:bottom w:val="single" w:sz="8" w:space="0" w:color="auto"/>
              <w:right w:val="single" w:sz="8" w:space="0" w:color="auto"/>
            </w:tcBorders>
            <w:shd w:val="clear" w:color="000000" w:fill="D5DCE4"/>
            <w:vAlign w:val="center"/>
            <w:hideMark/>
          </w:tcPr>
          <w:p w14:paraId="65C7CA37"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Restriction on Contingent Fees for Foreign Military Sales.</w:t>
            </w:r>
          </w:p>
        </w:tc>
        <w:tc>
          <w:tcPr>
            <w:tcW w:w="1080" w:type="dxa"/>
            <w:tcBorders>
              <w:top w:val="nil"/>
              <w:left w:val="nil"/>
              <w:bottom w:val="single" w:sz="8" w:space="0" w:color="auto"/>
              <w:right w:val="single" w:sz="8" w:space="0" w:color="auto"/>
            </w:tcBorders>
            <w:shd w:val="clear" w:color="D9D9D9" w:fill="D9D9D9"/>
            <w:noWrap/>
            <w:vAlign w:val="center"/>
            <w:hideMark/>
          </w:tcPr>
          <w:p w14:paraId="3CA58E33" w14:textId="0ED3DDB0"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APR-2003</w:t>
            </w:r>
          </w:p>
        </w:tc>
        <w:tc>
          <w:tcPr>
            <w:tcW w:w="2894" w:type="dxa"/>
            <w:tcBorders>
              <w:top w:val="nil"/>
              <w:left w:val="nil"/>
              <w:bottom w:val="single" w:sz="8" w:space="0" w:color="auto"/>
              <w:right w:val="single" w:sz="8" w:space="0" w:color="auto"/>
            </w:tcBorders>
            <w:shd w:val="clear" w:color="D9D9D9" w:fill="D9D9D9"/>
          </w:tcPr>
          <w:p w14:paraId="235679B1" w14:textId="6005F15F" w:rsidR="002F77E3" w:rsidRPr="002F77E3" w:rsidRDefault="00B124E7" w:rsidP="00B124E7">
            <w:pPr>
              <w:spacing w:after="0" w:line="240" w:lineRule="auto"/>
              <w:rPr>
                <w:rFonts w:ascii="Arial Narrow" w:eastAsia="Times New Roman" w:hAnsi="Arial Narrow" w:cs="Calibri"/>
                <w:color w:val="000000"/>
                <w:sz w:val="20"/>
                <w:szCs w:val="20"/>
              </w:rPr>
            </w:pPr>
            <w:r w:rsidRPr="00B124E7">
              <w:rPr>
                <w:rFonts w:ascii="Arial Narrow" w:eastAsia="Times New Roman" w:hAnsi="Arial Narrow" w:cs="Calibri"/>
                <w:color w:val="000000"/>
                <w:sz w:val="20"/>
                <w:szCs w:val="20"/>
              </w:rPr>
              <w:t>The reference to the clause in</w:t>
            </w:r>
            <w:r>
              <w:rPr>
                <w:rFonts w:ascii="Arial Narrow" w:eastAsia="Times New Roman" w:hAnsi="Arial Narrow" w:cs="Calibri"/>
                <w:color w:val="000000"/>
                <w:sz w:val="20"/>
                <w:szCs w:val="20"/>
              </w:rPr>
              <w:t xml:space="preserve"> </w:t>
            </w:r>
            <w:r w:rsidRPr="00B124E7">
              <w:rPr>
                <w:rFonts w:ascii="Arial Narrow" w:eastAsia="Times New Roman" w:hAnsi="Arial Narrow" w:cs="Calibri"/>
                <w:color w:val="000000"/>
                <w:sz w:val="20"/>
                <w:szCs w:val="20"/>
              </w:rPr>
              <w:t>paragraph (a) means FAR 52.203-5. The blank in paragraph (b)(1) is</w:t>
            </w:r>
            <w:r>
              <w:rPr>
                <w:rFonts w:ascii="Arial Narrow" w:eastAsia="Times New Roman" w:hAnsi="Arial Narrow" w:cs="Calibri"/>
                <w:color w:val="000000"/>
                <w:sz w:val="20"/>
                <w:szCs w:val="20"/>
              </w:rPr>
              <w:t xml:space="preserve"> </w:t>
            </w:r>
            <w:r w:rsidRPr="00B124E7">
              <w:rPr>
                <w:rFonts w:ascii="Arial Narrow" w:eastAsia="Times New Roman" w:hAnsi="Arial Narrow" w:cs="Calibri"/>
                <w:color w:val="000000"/>
                <w:sz w:val="20"/>
                <w:szCs w:val="20"/>
              </w:rPr>
              <w:t>completed with "any Government."  Subparagraph (b)(2) is</w:t>
            </w:r>
            <w:r>
              <w:rPr>
                <w:rFonts w:ascii="Arial Narrow" w:eastAsia="Times New Roman" w:hAnsi="Arial Narrow" w:cs="Calibri"/>
                <w:color w:val="000000"/>
                <w:sz w:val="20"/>
                <w:szCs w:val="20"/>
              </w:rPr>
              <w:t xml:space="preserve"> </w:t>
            </w:r>
            <w:r w:rsidRPr="00B124E7">
              <w:rPr>
                <w:rFonts w:ascii="Arial Narrow" w:eastAsia="Times New Roman" w:hAnsi="Arial Narrow" w:cs="Calibri"/>
                <w:color w:val="000000"/>
                <w:sz w:val="20"/>
                <w:szCs w:val="20"/>
              </w:rPr>
              <w:t>deleted.</w:t>
            </w:r>
          </w:p>
        </w:tc>
      </w:tr>
      <w:tr w:rsidR="002F77E3" w:rsidRPr="002F77E3" w14:paraId="5B9BBA81" w14:textId="478735BF" w:rsidTr="002F77E3">
        <w:trPr>
          <w:trHeight w:val="780"/>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0DBFE3DC"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DFARS</w:t>
            </w:r>
          </w:p>
        </w:tc>
        <w:tc>
          <w:tcPr>
            <w:tcW w:w="1530" w:type="dxa"/>
            <w:tcBorders>
              <w:top w:val="nil"/>
              <w:left w:val="nil"/>
              <w:bottom w:val="single" w:sz="8" w:space="0" w:color="auto"/>
              <w:right w:val="single" w:sz="8" w:space="0" w:color="auto"/>
            </w:tcBorders>
            <w:shd w:val="clear" w:color="000000" w:fill="D5DCE4"/>
            <w:noWrap/>
            <w:vAlign w:val="center"/>
            <w:hideMark/>
          </w:tcPr>
          <w:p w14:paraId="15951583"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252.225-7036</w:t>
            </w:r>
          </w:p>
        </w:tc>
        <w:tc>
          <w:tcPr>
            <w:tcW w:w="2725" w:type="dxa"/>
            <w:tcBorders>
              <w:top w:val="nil"/>
              <w:left w:val="nil"/>
              <w:bottom w:val="single" w:sz="8" w:space="0" w:color="auto"/>
              <w:right w:val="single" w:sz="8" w:space="0" w:color="auto"/>
            </w:tcBorders>
            <w:shd w:val="clear" w:color="000000" w:fill="D5DCE4"/>
            <w:vAlign w:val="center"/>
            <w:hideMark/>
          </w:tcPr>
          <w:p w14:paraId="13670AF9"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Buy American - Free Trade Agreements - Balance of Payments Program.</w:t>
            </w:r>
          </w:p>
        </w:tc>
        <w:tc>
          <w:tcPr>
            <w:tcW w:w="1080" w:type="dxa"/>
            <w:tcBorders>
              <w:top w:val="nil"/>
              <w:left w:val="nil"/>
              <w:bottom w:val="single" w:sz="8" w:space="0" w:color="auto"/>
              <w:right w:val="single" w:sz="8" w:space="0" w:color="auto"/>
            </w:tcBorders>
            <w:noWrap/>
            <w:vAlign w:val="center"/>
            <w:hideMark/>
          </w:tcPr>
          <w:p w14:paraId="731CB7C3" w14:textId="46E2DD38"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JAN-2023</w:t>
            </w:r>
          </w:p>
        </w:tc>
        <w:tc>
          <w:tcPr>
            <w:tcW w:w="2894" w:type="dxa"/>
            <w:tcBorders>
              <w:top w:val="nil"/>
              <w:left w:val="nil"/>
              <w:bottom w:val="single" w:sz="8" w:space="0" w:color="auto"/>
              <w:right w:val="single" w:sz="8" w:space="0" w:color="auto"/>
            </w:tcBorders>
          </w:tcPr>
          <w:p w14:paraId="2925ADF0" w14:textId="77777777" w:rsidR="002F77E3" w:rsidRPr="002F77E3" w:rsidRDefault="002F77E3" w:rsidP="002F77E3">
            <w:pPr>
              <w:spacing w:after="0" w:line="240" w:lineRule="auto"/>
              <w:jc w:val="right"/>
              <w:rPr>
                <w:rFonts w:ascii="Arial Narrow" w:eastAsia="Times New Roman" w:hAnsi="Arial Narrow" w:cs="Calibri"/>
                <w:color w:val="000000"/>
                <w:sz w:val="20"/>
                <w:szCs w:val="20"/>
              </w:rPr>
            </w:pPr>
          </w:p>
        </w:tc>
      </w:tr>
      <w:tr w:rsidR="002F77E3" w:rsidRPr="002F77E3" w14:paraId="7B54D69F" w14:textId="258EA9F4" w:rsidTr="002F77E3">
        <w:trPr>
          <w:trHeight w:val="780"/>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004EC188"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DFARS</w:t>
            </w:r>
          </w:p>
        </w:tc>
        <w:tc>
          <w:tcPr>
            <w:tcW w:w="1530" w:type="dxa"/>
            <w:tcBorders>
              <w:top w:val="nil"/>
              <w:left w:val="nil"/>
              <w:bottom w:val="single" w:sz="8" w:space="0" w:color="auto"/>
              <w:right w:val="single" w:sz="8" w:space="0" w:color="auto"/>
            </w:tcBorders>
            <w:shd w:val="clear" w:color="000000" w:fill="D5DCE4"/>
            <w:noWrap/>
            <w:vAlign w:val="center"/>
            <w:hideMark/>
          </w:tcPr>
          <w:p w14:paraId="686329A3"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252.225-7036 ALT IV</w:t>
            </w:r>
          </w:p>
        </w:tc>
        <w:tc>
          <w:tcPr>
            <w:tcW w:w="2725" w:type="dxa"/>
            <w:tcBorders>
              <w:top w:val="nil"/>
              <w:left w:val="nil"/>
              <w:bottom w:val="single" w:sz="8" w:space="0" w:color="auto"/>
              <w:right w:val="single" w:sz="8" w:space="0" w:color="auto"/>
            </w:tcBorders>
            <w:shd w:val="clear" w:color="000000" w:fill="D5DCE4"/>
            <w:vAlign w:val="center"/>
            <w:hideMark/>
          </w:tcPr>
          <w:p w14:paraId="3F414B00"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Alternate IV - Buy American - Free Trade Agreements - Balance of Payments Program.</w:t>
            </w:r>
          </w:p>
        </w:tc>
        <w:tc>
          <w:tcPr>
            <w:tcW w:w="1080" w:type="dxa"/>
            <w:tcBorders>
              <w:top w:val="nil"/>
              <w:left w:val="nil"/>
              <w:bottom w:val="single" w:sz="8" w:space="0" w:color="auto"/>
              <w:right w:val="single" w:sz="8" w:space="0" w:color="auto"/>
            </w:tcBorders>
            <w:shd w:val="clear" w:color="D9D9D9" w:fill="D9D9D9"/>
            <w:noWrap/>
            <w:vAlign w:val="center"/>
            <w:hideMark/>
          </w:tcPr>
          <w:p w14:paraId="46E71FBB" w14:textId="08A86A51"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JAN-2023</w:t>
            </w:r>
          </w:p>
        </w:tc>
        <w:tc>
          <w:tcPr>
            <w:tcW w:w="2894" w:type="dxa"/>
            <w:tcBorders>
              <w:top w:val="nil"/>
              <w:left w:val="nil"/>
              <w:bottom w:val="single" w:sz="8" w:space="0" w:color="auto"/>
              <w:right w:val="single" w:sz="8" w:space="0" w:color="auto"/>
            </w:tcBorders>
            <w:shd w:val="clear" w:color="D9D9D9" w:fill="D9D9D9"/>
          </w:tcPr>
          <w:p w14:paraId="6D1AC057" w14:textId="77777777" w:rsidR="002F77E3" w:rsidRPr="002F77E3" w:rsidRDefault="002F77E3" w:rsidP="002F77E3">
            <w:pPr>
              <w:spacing w:after="0" w:line="240" w:lineRule="auto"/>
              <w:jc w:val="right"/>
              <w:rPr>
                <w:rFonts w:ascii="Arial Narrow" w:eastAsia="Times New Roman" w:hAnsi="Arial Narrow" w:cs="Calibri"/>
                <w:color w:val="000000"/>
                <w:sz w:val="20"/>
                <w:szCs w:val="20"/>
              </w:rPr>
            </w:pPr>
          </w:p>
        </w:tc>
      </w:tr>
      <w:tr w:rsidR="002F77E3" w:rsidRPr="002F77E3" w14:paraId="0EB24F32" w14:textId="3651CD7B" w:rsidTr="002F77E3">
        <w:trPr>
          <w:trHeight w:val="780"/>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00BA8275"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DFARS</w:t>
            </w:r>
          </w:p>
        </w:tc>
        <w:tc>
          <w:tcPr>
            <w:tcW w:w="1530" w:type="dxa"/>
            <w:tcBorders>
              <w:top w:val="nil"/>
              <w:left w:val="nil"/>
              <w:bottom w:val="single" w:sz="8" w:space="0" w:color="auto"/>
              <w:right w:val="single" w:sz="8" w:space="0" w:color="auto"/>
            </w:tcBorders>
            <w:shd w:val="clear" w:color="000000" w:fill="D5DCE4"/>
            <w:noWrap/>
            <w:vAlign w:val="center"/>
            <w:hideMark/>
          </w:tcPr>
          <w:p w14:paraId="0E2B7D2D"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252.225-7055</w:t>
            </w:r>
          </w:p>
        </w:tc>
        <w:tc>
          <w:tcPr>
            <w:tcW w:w="2725" w:type="dxa"/>
            <w:tcBorders>
              <w:top w:val="nil"/>
              <w:left w:val="nil"/>
              <w:bottom w:val="single" w:sz="8" w:space="0" w:color="auto"/>
              <w:right w:val="single" w:sz="8" w:space="0" w:color="auto"/>
            </w:tcBorders>
            <w:shd w:val="clear" w:color="000000" w:fill="D5DCE4"/>
            <w:vAlign w:val="center"/>
            <w:hideMark/>
          </w:tcPr>
          <w:p w14:paraId="356DE371"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Representation Regarding Business Operations with the Maduro Regime.</w:t>
            </w:r>
          </w:p>
        </w:tc>
        <w:tc>
          <w:tcPr>
            <w:tcW w:w="1080" w:type="dxa"/>
            <w:tcBorders>
              <w:top w:val="nil"/>
              <w:left w:val="nil"/>
              <w:bottom w:val="single" w:sz="8" w:space="0" w:color="auto"/>
              <w:right w:val="single" w:sz="8" w:space="0" w:color="auto"/>
            </w:tcBorders>
            <w:noWrap/>
            <w:vAlign w:val="center"/>
            <w:hideMark/>
          </w:tcPr>
          <w:p w14:paraId="53BB3EF4" w14:textId="14D03B21"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MAY-2022</w:t>
            </w:r>
          </w:p>
        </w:tc>
        <w:tc>
          <w:tcPr>
            <w:tcW w:w="2894" w:type="dxa"/>
            <w:tcBorders>
              <w:top w:val="nil"/>
              <w:left w:val="nil"/>
              <w:bottom w:val="single" w:sz="8" w:space="0" w:color="auto"/>
              <w:right w:val="single" w:sz="8" w:space="0" w:color="auto"/>
            </w:tcBorders>
          </w:tcPr>
          <w:p w14:paraId="7B44B588" w14:textId="77777777" w:rsidR="002F77E3" w:rsidRPr="002F77E3" w:rsidRDefault="002F77E3" w:rsidP="002F77E3">
            <w:pPr>
              <w:spacing w:after="0" w:line="240" w:lineRule="auto"/>
              <w:jc w:val="right"/>
              <w:rPr>
                <w:rFonts w:ascii="Arial Narrow" w:eastAsia="Times New Roman" w:hAnsi="Arial Narrow" w:cs="Calibri"/>
                <w:color w:val="000000"/>
                <w:sz w:val="20"/>
                <w:szCs w:val="20"/>
              </w:rPr>
            </w:pPr>
          </w:p>
        </w:tc>
      </w:tr>
      <w:tr w:rsidR="002F77E3" w:rsidRPr="002F77E3" w14:paraId="1BF8F0CF" w14:textId="15F5180C" w:rsidTr="002F77E3">
        <w:trPr>
          <w:trHeight w:val="525"/>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6994E576"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DFARS</w:t>
            </w:r>
          </w:p>
        </w:tc>
        <w:tc>
          <w:tcPr>
            <w:tcW w:w="1530" w:type="dxa"/>
            <w:tcBorders>
              <w:top w:val="nil"/>
              <w:left w:val="nil"/>
              <w:bottom w:val="single" w:sz="8" w:space="0" w:color="auto"/>
              <w:right w:val="single" w:sz="8" w:space="0" w:color="auto"/>
            </w:tcBorders>
            <w:shd w:val="clear" w:color="000000" w:fill="D5DCE4"/>
            <w:noWrap/>
            <w:vAlign w:val="center"/>
            <w:hideMark/>
          </w:tcPr>
          <w:p w14:paraId="1033D7D5"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252.243-7002</w:t>
            </w:r>
          </w:p>
        </w:tc>
        <w:tc>
          <w:tcPr>
            <w:tcW w:w="2725" w:type="dxa"/>
            <w:tcBorders>
              <w:top w:val="nil"/>
              <w:left w:val="nil"/>
              <w:bottom w:val="single" w:sz="8" w:space="0" w:color="auto"/>
              <w:right w:val="single" w:sz="8" w:space="0" w:color="auto"/>
            </w:tcBorders>
            <w:shd w:val="clear" w:color="000000" w:fill="D5DCE4"/>
            <w:vAlign w:val="center"/>
            <w:hideMark/>
          </w:tcPr>
          <w:p w14:paraId="2FEBB270"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Requests for Equitable Adjustment.</w:t>
            </w:r>
          </w:p>
        </w:tc>
        <w:tc>
          <w:tcPr>
            <w:tcW w:w="1080" w:type="dxa"/>
            <w:tcBorders>
              <w:top w:val="nil"/>
              <w:left w:val="nil"/>
              <w:bottom w:val="single" w:sz="8" w:space="0" w:color="auto"/>
              <w:right w:val="single" w:sz="8" w:space="0" w:color="auto"/>
            </w:tcBorders>
            <w:shd w:val="clear" w:color="D9D9D9" w:fill="D9D9D9"/>
            <w:noWrap/>
            <w:vAlign w:val="center"/>
            <w:hideMark/>
          </w:tcPr>
          <w:p w14:paraId="0029450A" w14:textId="7B529A2D"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DEC-2022</w:t>
            </w:r>
          </w:p>
        </w:tc>
        <w:tc>
          <w:tcPr>
            <w:tcW w:w="2894" w:type="dxa"/>
            <w:tcBorders>
              <w:top w:val="nil"/>
              <w:left w:val="nil"/>
              <w:bottom w:val="single" w:sz="8" w:space="0" w:color="auto"/>
              <w:right w:val="single" w:sz="8" w:space="0" w:color="auto"/>
            </w:tcBorders>
            <w:shd w:val="clear" w:color="D9D9D9" w:fill="D9D9D9"/>
          </w:tcPr>
          <w:p w14:paraId="76A83EBA" w14:textId="08F38554" w:rsidR="002F77E3" w:rsidRPr="002F77E3" w:rsidRDefault="00F23DFA" w:rsidP="00F23DFA">
            <w:pPr>
              <w:spacing w:after="0" w:line="240" w:lineRule="auto"/>
              <w:rPr>
                <w:rFonts w:ascii="Arial Narrow" w:eastAsia="Times New Roman" w:hAnsi="Arial Narrow" w:cs="Calibri"/>
                <w:color w:val="000000"/>
                <w:sz w:val="20"/>
                <w:szCs w:val="20"/>
              </w:rPr>
            </w:pPr>
            <w:r w:rsidRPr="00F23DFA">
              <w:rPr>
                <w:rFonts w:ascii="Arial Narrow" w:eastAsia="Times New Roman" w:hAnsi="Arial Narrow" w:cs="Calibri"/>
                <w:color w:val="000000"/>
                <w:sz w:val="20"/>
                <w:szCs w:val="20"/>
              </w:rPr>
              <w:t>"Government" means "Lockheed</w:t>
            </w:r>
            <w:r>
              <w:rPr>
                <w:rFonts w:ascii="Arial Narrow" w:eastAsia="Times New Roman" w:hAnsi="Arial Narrow" w:cs="Calibri"/>
                <w:color w:val="000000"/>
                <w:sz w:val="20"/>
                <w:szCs w:val="20"/>
              </w:rPr>
              <w:t xml:space="preserve"> </w:t>
            </w:r>
            <w:r w:rsidRPr="00F23DFA">
              <w:rPr>
                <w:rFonts w:ascii="Arial Narrow" w:eastAsia="Times New Roman" w:hAnsi="Arial Narrow" w:cs="Calibri"/>
                <w:color w:val="000000"/>
                <w:sz w:val="20"/>
                <w:szCs w:val="20"/>
              </w:rPr>
              <w:t>Martin."</w:t>
            </w:r>
          </w:p>
        </w:tc>
      </w:tr>
      <w:tr w:rsidR="002F77E3" w:rsidRPr="002F77E3" w14:paraId="1CED3795" w14:textId="2F7B5284" w:rsidTr="002F77E3">
        <w:trPr>
          <w:trHeight w:val="780"/>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383AEC59"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FAR</w:t>
            </w:r>
          </w:p>
        </w:tc>
        <w:tc>
          <w:tcPr>
            <w:tcW w:w="1530" w:type="dxa"/>
            <w:tcBorders>
              <w:top w:val="nil"/>
              <w:left w:val="nil"/>
              <w:bottom w:val="single" w:sz="8" w:space="0" w:color="auto"/>
              <w:right w:val="single" w:sz="8" w:space="0" w:color="auto"/>
            </w:tcBorders>
            <w:shd w:val="clear" w:color="000000" w:fill="D5DCE4"/>
            <w:noWrap/>
            <w:vAlign w:val="center"/>
            <w:hideMark/>
          </w:tcPr>
          <w:p w14:paraId="4789E02F"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52.203-15</w:t>
            </w:r>
          </w:p>
        </w:tc>
        <w:tc>
          <w:tcPr>
            <w:tcW w:w="2725" w:type="dxa"/>
            <w:tcBorders>
              <w:top w:val="nil"/>
              <w:left w:val="nil"/>
              <w:bottom w:val="single" w:sz="8" w:space="0" w:color="auto"/>
              <w:right w:val="single" w:sz="8" w:space="0" w:color="auto"/>
            </w:tcBorders>
            <w:shd w:val="clear" w:color="000000" w:fill="D5DCE4"/>
            <w:vAlign w:val="center"/>
            <w:hideMark/>
          </w:tcPr>
          <w:p w14:paraId="0F6A3A5A"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Whistleblower Protections Under the American Recovery and Reinvestment Act of 2009.</w:t>
            </w:r>
          </w:p>
        </w:tc>
        <w:tc>
          <w:tcPr>
            <w:tcW w:w="1080" w:type="dxa"/>
            <w:tcBorders>
              <w:top w:val="nil"/>
              <w:left w:val="nil"/>
              <w:bottom w:val="single" w:sz="8" w:space="0" w:color="auto"/>
              <w:right w:val="single" w:sz="8" w:space="0" w:color="auto"/>
            </w:tcBorders>
            <w:noWrap/>
            <w:vAlign w:val="center"/>
            <w:hideMark/>
          </w:tcPr>
          <w:p w14:paraId="794D48E9" w14:textId="3F30A5C8"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JUN-2010</w:t>
            </w:r>
          </w:p>
        </w:tc>
        <w:tc>
          <w:tcPr>
            <w:tcW w:w="2894" w:type="dxa"/>
            <w:tcBorders>
              <w:top w:val="nil"/>
              <w:left w:val="nil"/>
              <w:bottom w:val="single" w:sz="8" w:space="0" w:color="auto"/>
              <w:right w:val="single" w:sz="8" w:space="0" w:color="auto"/>
            </w:tcBorders>
          </w:tcPr>
          <w:p w14:paraId="29196FFD" w14:textId="77777777" w:rsidR="002F77E3" w:rsidRPr="002F77E3" w:rsidRDefault="002F77E3" w:rsidP="002F77E3">
            <w:pPr>
              <w:spacing w:after="0" w:line="240" w:lineRule="auto"/>
              <w:jc w:val="right"/>
              <w:rPr>
                <w:rFonts w:ascii="Arial Narrow" w:eastAsia="Times New Roman" w:hAnsi="Arial Narrow" w:cs="Calibri"/>
                <w:color w:val="000000"/>
                <w:sz w:val="20"/>
                <w:szCs w:val="20"/>
              </w:rPr>
            </w:pPr>
          </w:p>
        </w:tc>
      </w:tr>
      <w:tr w:rsidR="002F77E3" w:rsidRPr="002F77E3" w14:paraId="4D6B5A46" w14:textId="4FEA152D" w:rsidTr="002F77E3">
        <w:trPr>
          <w:trHeight w:val="315"/>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537A18B5"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FAR</w:t>
            </w:r>
          </w:p>
        </w:tc>
        <w:tc>
          <w:tcPr>
            <w:tcW w:w="1530" w:type="dxa"/>
            <w:tcBorders>
              <w:top w:val="nil"/>
              <w:left w:val="nil"/>
              <w:bottom w:val="single" w:sz="8" w:space="0" w:color="auto"/>
              <w:right w:val="single" w:sz="8" w:space="0" w:color="auto"/>
            </w:tcBorders>
            <w:shd w:val="clear" w:color="000000" w:fill="D5DCE4"/>
            <w:noWrap/>
            <w:vAlign w:val="center"/>
            <w:hideMark/>
          </w:tcPr>
          <w:p w14:paraId="0E12BFD5"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52.227-3</w:t>
            </w:r>
          </w:p>
        </w:tc>
        <w:tc>
          <w:tcPr>
            <w:tcW w:w="2725" w:type="dxa"/>
            <w:tcBorders>
              <w:top w:val="nil"/>
              <w:left w:val="nil"/>
              <w:bottom w:val="single" w:sz="8" w:space="0" w:color="auto"/>
              <w:right w:val="single" w:sz="8" w:space="0" w:color="auto"/>
            </w:tcBorders>
            <w:shd w:val="clear" w:color="000000" w:fill="D5DCE4"/>
            <w:vAlign w:val="center"/>
            <w:hideMark/>
          </w:tcPr>
          <w:p w14:paraId="00560D53"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Patent Indemnity.</w:t>
            </w:r>
          </w:p>
        </w:tc>
        <w:tc>
          <w:tcPr>
            <w:tcW w:w="1080" w:type="dxa"/>
            <w:tcBorders>
              <w:top w:val="nil"/>
              <w:left w:val="nil"/>
              <w:bottom w:val="single" w:sz="8" w:space="0" w:color="auto"/>
              <w:right w:val="single" w:sz="8" w:space="0" w:color="auto"/>
            </w:tcBorders>
            <w:shd w:val="clear" w:color="D9D9D9" w:fill="D9D9D9"/>
            <w:noWrap/>
            <w:vAlign w:val="center"/>
            <w:hideMark/>
          </w:tcPr>
          <w:p w14:paraId="0049CC73" w14:textId="46E40550"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APR-1984</w:t>
            </w:r>
          </w:p>
        </w:tc>
        <w:tc>
          <w:tcPr>
            <w:tcW w:w="2894" w:type="dxa"/>
            <w:tcBorders>
              <w:top w:val="nil"/>
              <w:left w:val="nil"/>
              <w:bottom w:val="single" w:sz="8" w:space="0" w:color="auto"/>
              <w:right w:val="single" w:sz="8" w:space="0" w:color="auto"/>
            </w:tcBorders>
            <w:shd w:val="clear" w:color="D9D9D9" w:fill="D9D9D9"/>
          </w:tcPr>
          <w:p w14:paraId="623B3823" w14:textId="77777777" w:rsidR="002F77E3" w:rsidRPr="002F77E3" w:rsidRDefault="002F77E3" w:rsidP="002F77E3">
            <w:pPr>
              <w:spacing w:after="0" w:line="240" w:lineRule="auto"/>
              <w:jc w:val="right"/>
              <w:rPr>
                <w:rFonts w:ascii="Arial Narrow" w:eastAsia="Times New Roman" w:hAnsi="Arial Narrow" w:cs="Calibri"/>
                <w:color w:val="000000"/>
                <w:sz w:val="20"/>
                <w:szCs w:val="20"/>
              </w:rPr>
            </w:pPr>
          </w:p>
        </w:tc>
      </w:tr>
      <w:tr w:rsidR="002F77E3" w:rsidRPr="002F77E3" w14:paraId="2663D709" w14:textId="14E579EC" w:rsidTr="002F77E3">
        <w:trPr>
          <w:trHeight w:val="300"/>
        </w:trPr>
        <w:tc>
          <w:tcPr>
            <w:tcW w:w="1121" w:type="dxa"/>
            <w:tcBorders>
              <w:top w:val="nil"/>
              <w:left w:val="single" w:sz="8" w:space="0" w:color="auto"/>
              <w:bottom w:val="single" w:sz="8" w:space="0" w:color="auto"/>
              <w:right w:val="single" w:sz="8" w:space="0" w:color="auto"/>
            </w:tcBorders>
            <w:shd w:val="clear" w:color="000000" w:fill="D5DCE4"/>
            <w:vAlign w:val="center"/>
            <w:hideMark/>
          </w:tcPr>
          <w:p w14:paraId="2A73155F"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FAR</w:t>
            </w:r>
          </w:p>
        </w:tc>
        <w:tc>
          <w:tcPr>
            <w:tcW w:w="1530" w:type="dxa"/>
            <w:tcBorders>
              <w:top w:val="nil"/>
              <w:left w:val="nil"/>
              <w:bottom w:val="single" w:sz="8" w:space="0" w:color="auto"/>
              <w:right w:val="single" w:sz="8" w:space="0" w:color="auto"/>
            </w:tcBorders>
            <w:shd w:val="clear" w:color="000000" w:fill="D5DCE4"/>
            <w:noWrap/>
            <w:vAlign w:val="center"/>
            <w:hideMark/>
          </w:tcPr>
          <w:p w14:paraId="1C07A8E4"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52.246-23</w:t>
            </w:r>
          </w:p>
        </w:tc>
        <w:tc>
          <w:tcPr>
            <w:tcW w:w="2725" w:type="dxa"/>
            <w:tcBorders>
              <w:top w:val="nil"/>
              <w:left w:val="nil"/>
              <w:bottom w:val="single" w:sz="8" w:space="0" w:color="auto"/>
              <w:right w:val="single" w:sz="8" w:space="0" w:color="auto"/>
            </w:tcBorders>
            <w:shd w:val="clear" w:color="000000" w:fill="D5DCE4"/>
            <w:vAlign w:val="center"/>
            <w:hideMark/>
          </w:tcPr>
          <w:p w14:paraId="6CE70253" w14:textId="77777777" w:rsidR="002F77E3" w:rsidRPr="002F77E3" w:rsidRDefault="002F77E3" w:rsidP="002F77E3">
            <w:pPr>
              <w:spacing w:after="0" w:line="240" w:lineRule="auto"/>
              <w:rPr>
                <w:rFonts w:ascii="Arial Narrow" w:eastAsia="Times New Roman" w:hAnsi="Arial Narrow" w:cs="Calibri"/>
                <w:color w:val="000000"/>
                <w:sz w:val="20"/>
                <w:szCs w:val="20"/>
              </w:rPr>
            </w:pPr>
            <w:r w:rsidRPr="002F77E3">
              <w:rPr>
                <w:rFonts w:ascii="Arial Narrow" w:eastAsia="Times New Roman" w:hAnsi="Arial Narrow" w:cs="Calibri"/>
                <w:color w:val="000000"/>
                <w:sz w:val="20"/>
                <w:szCs w:val="20"/>
              </w:rPr>
              <w:t>Limitation of Liability.</w:t>
            </w:r>
          </w:p>
        </w:tc>
        <w:tc>
          <w:tcPr>
            <w:tcW w:w="1080" w:type="dxa"/>
            <w:tcBorders>
              <w:top w:val="nil"/>
              <w:left w:val="nil"/>
              <w:bottom w:val="single" w:sz="8" w:space="0" w:color="auto"/>
              <w:right w:val="single" w:sz="8" w:space="0" w:color="auto"/>
            </w:tcBorders>
            <w:noWrap/>
            <w:vAlign w:val="center"/>
            <w:hideMark/>
          </w:tcPr>
          <w:p w14:paraId="75511FA3" w14:textId="12976665" w:rsidR="002F77E3" w:rsidRPr="002F77E3" w:rsidRDefault="005C06CF" w:rsidP="002F77E3">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FEB-1997</w:t>
            </w:r>
          </w:p>
        </w:tc>
        <w:tc>
          <w:tcPr>
            <w:tcW w:w="2894" w:type="dxa"/>
            <w:tcBorders>
              <w:top w:val="nil"/>
              <w:left w:val="nil"/>
              <w:bottom w:val="single" w:sz="8" w:space="0" w:color="auto"/>
              <w:right w:val="single" w:sz="8" w:space="0" w:color="auto"/>
            </w:tcBorders>
          </w:tcPr>
          <w:p w14:paraId="42831918" w14:textId="2D0533EC" w:rsidR="002F77E3" w:rsidRPr="002F77E3" w:rsidRDefault="005C06CF" w:rsidP="005C06CF">
            <w:pPr>
              <w:spacing w:after="0" w:line="240" w:lineRule="auto"/>
              <w:rPr>
                <w:rFonts w:ascii="Arial Narrow" w:eastAsia="Times New Roman" w:hAnsi="Arial Narrow" w:cs="Calibri"/>
                <w:color w:val="000000"/>
                <w:sz w:val="20"/>
                <w:szCs w:val="20"/>
              </w:rPr>
            </w:pPr>
            <w:r w:rsidRPr="005C06CF">
              <w:rPr>
                <w:rFonts w:ascii="Arial Narrow" w:eastAsia="Times New Roman" w:hAnsi="Arial Narrow" w:cs="Calibri"/>
                <w:color w:val="000000"/>
                <w:sz w:val="20"/>
                <w:szCs w:val="20"/>
              </w:rPr>
              <w:t>In paragraph (a) the phrase "supplies</w:t>
            </w:r>
            <w:r>
              <w:rPr>
                <w:rFonts w:ascii="Arial Narrow" w:eastAsia="Times New Roman" w:hAnsi="Arial Narrow" w:cs="Calibri"/>
                <w:color w:val="000000"/>
                <w:sz w:val="20"/>
                <w:szCs w:val="20"/>
              </w:rPr>
              <w:t xml:space="preserve"> </w:t>
            </w:r>
            <w:r w:rsidRPr="005C06CF">
              <w:rPr>
                <w:rFonts w:ascii="Arial Narrow" w:eastAsia="Times New Roman" w:hAnsi="Arial Narrow" w:cs="Calibri"/>
                <w:color w:val="000000"/>
                <w:sz w:val="20"/>
                <w:szCs w:val="20"/>
              </w:rPr>
              <w:t>delivered under this contract" means "supplies delivered under the prime</w:t>
            </w:r>
            <w:r>
              <w:rPr>
                <w:rFonts w:ascii="Arial Narrow" w:eastAsia="Times New Roman" w:hAnsi="Arial Narrow" w:cs="Calibri"/>
                <w:color w:val="000000"/>
                <w:sz w:val="20"/>
                <w:szCs w:val="20"/>
              </w:rPr>
              <w:t xml:space="preserve"> </w:t>
            </w:r>
            <w:r w:rsidRPr="005C06CF">
              <w:rPr>
                <w:rFonts w:ascii="Arial Narrow" w:eastAsia="Times New Roman" w:hAnsi="Arial Narrow" w:cs="Calibri"/>
                <w:color w:val="000000"/>
                <w:sz w:val="20"/>
                <w:szCs w:val="20"/>
              </w:rPr>
              <w:t>contract</w:t>
            </w:r>
            <w:r>
              <w:rPr>
                <w:rFonts w:ascii="Arial Narrow" w:eastAsia="Times New Roman" w:hAnsi="Arial Narrow" w:cs="Calibri"/>
                <w:color w:val="000000"/>
                <w:sz w:val="20"/>
                <w:szCs w:val="20"/>
              </w:rPr>
              <w:t>.</w:t>
            </w:r>
            <w:r w:rsidRPr="005C06CF">
              <w:rPr>
                <w:rFonts w:ascii="Arial Narrow" w:eastAsia="Times New Roman" w:hAnsi="Arial Narrow" w:cs="Calibri"/>
                <w:color w:val="000000"/>
                <w:sz w:val="20"/>
                <w:szCs w:val="20"/>
              </w:rPr>
              <w:t>"</w:t>
            </w:r>
          </w:p>
        </w:tc>
      </w:tr>
    </w:tbl>
    <w:p w14:paraId="4E0B0578" w14:textId="77777777" w:rsidR="00390D8E" w:rsidRDefault="00390D8E" w:rsidP="009A7979">
      <w:pPr>
        <w:rPr>
          <w:b/>
        </w:rPr>
      </w:pPr>
    </w:p>
    <w:bookmarkEnd w:id="0"/>
    <w:p w14:paraId="2C388E27" w14:textId="77777777" w:rsidR="00390D8E" w:rsidRDefault="00390D8E" w:rsidP="009A7979">
      <w:pPr>
        <w:rPr>
          <w:b/>
        </w:rPr>
      </w:pPr>
    </w:p>
    <w:sectPr w:rsidR="00390D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8E1F0" w14:textId="77777777" w:rsidR="00EE36F7" w:rsidRDefault="00EE36F7" w:rsidP="006B2C64">
      <w:pPr>
        <w:spacing w:after="0" w:line="240" w:lineRule="auto"/>
      </w:pPr>
      <w:r>
        <w:separator/>
      </w:r>
    </w:p>
  </w:endnote>
  <w:endnote w:type="continuationSeparator" w:id="0">
    <w:p w14:paraId="6D6BF6CD" w14:textId="77777777" w:rsidR="00EE36F7" w:rsidRDefault="00EE36F7" w:rsidP="006B2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10D57" w14:textId="77777777" w:rsidR="00EE36F7" w:rsidRDefault="00EE36F7" w:rsidP="006B2C64">
      <w:pPr>
        <w:spacing w:after="0" w:line="240" w:lineRule="auto"/>
      </w:pPr>
      <w:r>
        <w:separator/>
      </w:r>
    </w:p>
  </w:footnote>
  <w:footnote w:type="continuationSeparator" w:id="0">
    <w:p w14:paraId="64068DE9" w14:textId="77777777" w:rsidR="00EE36F7" w:rsidRDefault="00EE36F7" w:rsidP="006B2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5049" w14:textId="007BCAC3" w:rsidR="0099147E" w:rsidRDefault="00BB09B9" w:rsidP="006B2C64">
    <w:pPr>
      <w:pStyle w:val="Header"/>
      <w:jc w:val="center"/>
    </w:pPr>
    <w:r>
      <w:t>Ocean Probes – Prime Contract # SPE4A1-</w:t>
    </w:r>
    <w:r w:rsidR="00B17A74">
      <w:t>23-G</w:t>
    </w:r>
    <w:r>
      <w:t xml:space="preserve">-0025, </w:t>
    </w:r>
    <w:r w:rsidR="00437785">
      <w:t xml:space="preserve">Rev </w:t>
    </w:r>
    <w:r w:rsidR="009B1B4E">
      <w:t>1</w:t>
    </w:r>
  </w:p>
  <w:p w14:paraId="763A02EE" w14:textId="2577A631" w:rsidR="00437785" w:rsidRDefault="00437785" w:rsidP="006B2C64">
    <w:pPr>
      <w:pStyle w:val="Header"/>
      <w:jc w:val="center"/>
    </w:pPr>
    <w:r>
      <w:t>[</w:t>
    </w:r>
    <w:r w:rsidR="00BB09B9">
      <w:t>09/</w:t>
    </w:r>
    <w:r w:rsidR="002F77E3">
      <w:t>21</w:t>
    </w:r>
    <w:r w:rsidR="00BB09B9">
      <w:t>/2026</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2AA"/>
    <w:rsid w:val="000350B4"/>
    <w:rsid w:val="00072D33"/>
    <w:rsid w:val="001269AE"/>
    <w:rsid w:val="001A575E"/>
    <w:rsid w:val="001A6E1B"/>
    <w:rsid w:val="001E162A"/>
    <w:rsid w:val="00271FD3"/>
    <w:rsid w:val="002D0175"/>
    <w:rsid w:val="002F77E3"/>
    <w:rsid w:val="003130CC"/>
    <w:rsid w:val="00390D8E"/>
    <w:rsid w:val="00402A24"/>
    <w:rsid w:val="00410CDD"/>
    <w:rsid w:val="00437785"/>
    <w:rsid w:val="004C7F76"/>
    <w:rsid w:val="0051639F"/>
    <w:rsid w:val="00534F05"/>
    <w:rsid w:val="00586BF7"/>
    <w:rsid w:val="005C06CF"/>
    <w:rsid w:val="00604FEE"/>
    <w:rsid w:val="00666D8F"/>
    <w:rsid w:val="00690CDF"/>
    <w:rsid w:val="006B2C64"/>
    <w:rsid w:val="006C2B3E"/>
    <w:rsid w:val="00740EE9"/>
    <w:rsid w:val="00753169"/>
    <w:rsid w:val="007549D1"/>
    <w:rsid w:val="00793130"/>
    <w:rsid w:val="007B689E"/>
    <w:rsid w:val="007F7C59"/>
    <w:rsid w:val="008A1587"/>
    <w:rsid w:val="00912CF7"/>
    <w:rsid w:val="0099147E"/>
    <w:rsid w:val="009A7979"/>
    <w:rsid w:val="009B1B4E"/>
    <w:rsid w:val="009D6EA3"/>
    <w:rsid w:val="009E24CC"/>
    <w:rsid w:val="009E43F1"/>
    <w:rsid w:val="00AC6AB1"/>
    <w:rsid w:val="00AF6A4A"/>
    <w:rsid w:val="00B124E7"/>
    <w:rsid w:val="00B17A74"/>
    <w:rsid w:val="00B17BC6"/>
    <w:rsid w:val="00B41C6E"/>
    <w:rsid w:val="00B4750E"/>
    <w:rsid w:val="00BB09B9"/>
    <w:rsid w:val="00BB3D92"/>
    <w:rsid w:val="00BD2853"/>
    <w:rsid w:val="00C82C72"/>
    <w:rsid w:val="00CA2CFC"/>
    <w:rsid w:val="00CB0D70"/>
    <w:rsid w:val="00CE42E9"/>
    <w:rsid w:val="00D802F9"/>
    <w:rsid w:val="00DF32AA"/>
    <w:rsid w:val="00E032AB"/>
    <w:rsid w:val="00E24661"/>
    <w:rsid w:val="00E339BA"/>
    <w:rsid w:val="00E830AF"/>
    <w:rsid w:val="00EA3370"/>
    <w:rsid w:val="00EE36F7"/>
    <w:rsid w:val="00F02089"/>
    <w:rsid w:val="00F23DFA"/>
    <w:rsid w:val="00F302AF"/>
    <w:rsid w:val="00F92AAD"/>
    <w:rsid w:val="00FB13E2"/>
    <w:rsid w:val="00FB1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4EA3D"/>
  <w15:chartTrackingRefBased/>
  <w15:docId w15:val="{6BBF8E84-FB1F-4AA4-90ED-766A34EB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C64"/>
  </w:style>
  <w:style w:type="paragraph" w:styleId="Footer">
    <w:name w:val="footer"/>
    <w:basedOn w:val="Normal"/>
    <w:link w:val="FooterChar"/>
    <w:uiPriority w:val="99"/>
    <w:unhideWhenUsed/>
    <w:rsid w:val="006B2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C64"/>
  </w:style>
  <w:style w:type="character" w:styleId="Hyperlink">
    <w:name w:val="Hyperlink"/>
    <w:basedOn w:val="DefaultParagraphFont"/>
    <w:uiPriority w:val="99"/>
    <w:semiHidden/>
    <w:unhideWhenUsed/>
    <w:rsid w:val="00740EE9"/>
    <w:rPr>
      <w:color w:val="0563C1"/>
      <w:u w:val="single"/>
    </w:rPr>
  </w:style>
  <w:style w:type="table" w:styleId="TableGrid">
    <w:name w:val="Table Grid"/>
    <w:basedOn w:val="TableNormal"/>
    <w:uiPriority w:val="39"/>
    <w:rsid w:val="009D6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4FEE"/>
    <w:rPr>
      <w:sz w:val="16"/>
      <w:szCs w:val="16"/>
    </w:rPr>
  </w:style>
  <w:style w:type="paragraph" w:styleId="CommentText">
    <w:name w:val="annotation text"/>
    <w:basedOn w:val="Normal"/>
    <w:link w:val="CommentTextChar"/>
    <w:uiPriority w:val="99"/>
    <w:unhideWhenUsed/>
    <w:rsid w:val="00604FEE"/>
    <w:pPr>
      <w:spacing w:line="240" w:lineRule="auto"/>
    </w:pPr>
    <w:rPr>
      <w:sz w:val="20"/>
      <w:szCs w:val="20"/>
    </w:rPr>
  </w:style>
  <w:style w:type="character" w:customStyle="1" w:styleId="CommentTextChar">
    <w:name w:val="Comment Text Char"/>
    <w:basedOn w:val="DefaultParagraphFont"/>
    <w:link w:val="CommentText"/>
    <w:uiPriority w:val="99"/>
    <w:rsid w:val="00604FEE"/>
    <w:rPr>
      <w:sz w:val="20"/>
      <w:szCs w:val="20"/>
    </w:rPr>
  </w:style>
  <w:style w:type="paragraph" w:styleId="CommentSubject">
    <w:name w:val="annotation subject"/>
    <w:basedOn w:val="CommentText"/>
    <w:next w:val="CommentText"/>
    <w:link w:val="CommentSubjectChar"/>
    <w:uiPriority w:val="99"/>
    <w:semiHidden/>
    <w:unhideWhenUsed/>
    <w:rsid w:val="00604FEE"/>
    <w:rPr>
      <w:b/>
      <w:bCs/>
    </w:rPr>
  </w:style>
  <w:style w:type="character" w:customStyle="1" w:styleId="CommentSubjectChar">
    <w:name w:val="Comment Subject Char"/>
    <w:basedOn w:val="CommentTextChar"/>
    <w:link w:val="CommentSubject"/>
    <w:uiPriority w:val="99"/>
    <w:semiHidden/>
    <w:rsid w:val="00604F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1035">
      <w:bodyDiv w:val="1"/>
      <w:marLeft w:val="0"/>
      <w:marRight w:val="0"/>
      <w:marTop w:val="0"/>
      <w:marBottom w:val="0"/>
      <w:divBdr>
        <w:top w:val="none" w:sz="0" w:space="0" w:color="auto"/>
        <w:left w:val="none" w:sz="0" w:space="0" w:color="auto"/>
        <w:bottom w:val="none" w:sz="0" w:space="0" w:color="auto"/>
        <w:right w:val="none" w:sz="0" w:space="0" w:color="auto"/>
      </w:divBdr>
    </w:div>
    <w:div w:id="1822647845">
      <w:bodyDiv w:val="1"/>
      <w:marLeft w:val="0"/>
      <w:marRight w:val="0"/>
      <w:marTop w:val="0"/>
      <w:marBottom w:val="0"/>
      <w:divBdr>
        <w:top w:val="none" w:sz="0" w:space="0" w:color="auto"/>
        <w:left w:val="none" w:sz="0" w:space="0" w:color="auto"/>
        <w:bottom w:val="none" w:sz="0" w:space="0" w:color="auto"/>
        <w:right w:val="none" w:sz="0" w:space="0" w:color="auto"/>
      </w:divBdr>
    </w:div>
    <w:div w:id="2071466047">
      <w:bodyDiv w:val="1"/>
      <w:marLeft w:val="0"/>
      <w:marRight w:val="0"/>
      <w:marTop w:val="0"/>
      <w:marBottom w:val="0"/>
      <w:divBdr>
        <w:top w:val="none" w:sz="0" w:space="0" w:color="auto"/>
        <w:left w:val="none" w:sz="0" w:space="0" w:color="auto"/>
        <w:bottom w:val="none" w:sz="0" w:space="0" w:color="auto"/>
        <w:right w:val="none" w:sz="0" w:space="0" w:color="auto"/>
      </w:divBdr>
    </w:div>
    <w:div w:id="210444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Mcgraw, Shaun H (US)</dc:creator>
  <cp:keywords>Unrestricted</cp:keywords>
  <dc:description/>
  <cp:lastModifiedBy>Omdahl, Peter</cp:lastModifiedBy>
  <cp:revision>4</cp:revision>
  <dcterms:created xsi:type="dcterms:W3CDTF">2026-09-21T14:42:00Z</dcterms:created>
  <dcterms:modified xsi:type="dcterms:W3CDTF">2026-09-22T17:01:00Z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M SIP Document Sensitivity">
    <vt:lpwstr/>
  </property>
  <property fmtid="{D5CDD505-2E9C-101B-9397-08002B2CF9AE}" pid="3" name="Document Author">
    <vt:lpwstr>ACCT05\hallinak</vt:lpwstr>
  </property>
  <property fmtid="{D5CDD505-2E9C-101B-9397-08002B2CF9AE}" pid="4" name="Document Sensitivity">
    <vt:lpwstr>1</vt:lpwstr>
  </property>
  <property fmtid="{D5CDD505-2E9C-101B-9397-08002B2CF9AE}" pid="5" name="ThirdParty">
    <vt:lpwstr/>
  </property>
  <property fmtid="{D5CDD505-2E9C-101B-9397-08002B2CF9AE}" pid="6" name="OCI Restriction">
    <vt:bool>false</vt:bool>
  </property>
  <property fmtid="{D5CDD505-2E9C-101B-9397-08002B2CF9AE}" pid="7" name="OCI Additional Info">
    <vt:lpwstr/>
  </property>
  <property fmtid="{D5CDD505-2E9C-101B-9397-08002B2CF9AE}" pid="8" name="Allow Header Overwrite">
    <vt:bool>true</vt:bool>
  </property>
  <property fmtid="{D5CDD505-2E9C-101B-9397-08002B2CF9AE}" pid="9" name="Allow Footer Overwrite">
    <vt:bool>true</vt:bool>
  </property>
  <property fmtid="{D5CDD505-2E9C-101B-9397-08002B2CF9AE}" pid="10" name="Multiple Selected">
    <vt:lpwstr>-1</vt:lpwstr>
  </property>
  <property fmtid="{D5CDD505-2E9C-101B-9397-08002B2CF9AE}" pid="11" name="SIPLongWording">
    <vt:lpwstr>_x000d_
_x000d_
</vt:lpwstr>
  </property>
  <property fmtid="{D5CDD505-2E9C-101B-9397-08002B2CF9AE}" pid="12" name="ExpCountry">
    <vt:lpwstr/>
  </property>
  <property fmtid="{D5CDD505-2E9C-101B-9397-08002B2CF9AE}" pid="13" name="MSIP_Label_502bc7c3-f152-4da1-98bd-f7a1bebdf752_Enabled">
    <vt:lpwstr>true</vt:lpwstr>
  </property>
  <property fmtid="{D5CDD505-2E9C-101B-9397-08002B2CF9AE}" pid="14" name="MSIP_Label_502bc7c3-f152-4da1-98bd-f7a1bebdf752_SetDate">
    <vt:lpwstr>2023-11-08T19:45:21Z</vt:lpwstr>
  </property>
  <property fmtid="{D5CDD505-2E9C-101B-9397-08002B2CF9AE}" pid="15" name="MSIP_Label_502bc7c3-f152-4da1-98bd-f7a1bebdf752_Method">
    <vt:lpwstr>Privileged</vt:lpwstr>
  </property>
  <property fmtid="{D5CDD505-2E9C-101B-9397-08002B2CF9AE}" pid="16" name="MSIP_Label_502bc7c3-f152-4da1-98bd-f7a1bebdf752_Name">
    <vt:lpwstr>Unrestricted</vt:lpwstr>
  </property>
  <property fmtid="{D5CDD505-2E9C-101B-9397-08002B2CF9AE}" pid="17" name="MSIP_Label_502bc7c3-f152-4da1-98bd-f7a1bebdf752_SiteId">
    <vt:lpwstr>b18f006c-b0fc-467d-b23a-a35b5695b5dc</vt:lpwstr>
  </property>
  <property fmtid="{D5CDD505-2E9C-101B-9397-08002B2CF9AE}" pid="18" name="MSIP_Label_502bc7c3-f152-4da1-98bd-f7a1bebdf752_ActionId">
    <vt:lpwstr>f0ba167a-0973-4380-ba6c-75d20410bc32</vt:lpwstr>
  </property>
  <property fmtid="{D5CDD505-2E9C-101B-9397-08002B2CF9AE}" pid="19" name="MSIP_Label_502bc7c3-f152-4da1-98bd-f7a1bebdf752_ContentBits">
    <vt:lpwstr>0</vt:lpwstr>
  </property>
</Properties>
</file>